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490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56"/>
        <w:gridCol w:w="3156"/>
        <w:gridCol w:w="4178"/>
      </w:tblGrid>
      <w:tr>
        <w:trPr>
          <w:trHeight w:val="103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lang w:val="ru-RU"/>
                <w:rFonts w:ascii="Verdana" w:eastAsia="굴림" w:hAnsi="Verdana" w:cs="Arial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Verdana" w:eastAsia="굴림" w:hAnsi="Verdana" w:cs="Arial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84" w:lineRule="auto"/>
              <w:textAlignment w:val="baseline"/>
              <w:rPr>
                <w:rFonts w:ascii="Verdana" w:eastAsia="굴림" w:hAnsi="Verdana" w:cs="Arial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532" w:hRule="atLeast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36"/>
                <w:szCs w:val="36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36"/>
                <w:szCs w:val="36"/>
                <w:kern w:val="0"/>
              </w:rPr>
              <w:t>П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36"/>
                <w:szCs w:val="36"/>
                <w:kern w:val="0"/>
              </w:rPr>
              <w:t xml:space="preserve">оправки в системе социального дистанцирования во время праздников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36"/>
                <w:szCs w:val="36"/>
                <w:kern w:val="0"/>
              </w:rPr>
              <w:t>Чхусок</w:t>
            </w:r>
          </w:p>
        </w:tc>
      </w:tr>
      <w:tr>
        <w:trPr>
          <w:trHeight w:val="102" w:hRule="atLeast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lang w:val="ru-RU"/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lang w:val="ru-RU"/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pacing w:after="0" w:line="312" w:lineRule="auto"/>
              <w:textAlignment w:val="baseline"/>
              <w:rPr>
                <w:lang w:val="ru-RU"/>
                <w:rFonts w:ascii="Arial" w:eastAsia="굴림" w:hAnsi="Arial" w:cs="Arial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pStyle w:val="a3"/>
        <w:ind w:left="142" w:firstLine="0"/>
        <w:numPr>
          <w:ilvl w:val="0"/>
          <w:numId w:val="1"/>
        </w:numPr>
        <w:spacing w:after="20" w:before="300" w:line="360" w:lineRule="auto"/>
        <w:rPr>
          <w:lang w:val="ru-RU"/>
          <w:rFonts w:ascii="Arial" w:eastAsiaTheme="majorHAnsi" w:hAnsi="Arial" w:cs="Arial"/>
          <w:b/>
          <w:bCs/>
          <w:color w:val="000000"/>
          <w:sz w:val="14"/>
          <w:szCs w:val="14"/>
        </w:rPr>
      </w:pPr>
      <w:r>
        <w:rPr>
          <w:lang w:val="ru-RU"/>
          <w:rFonts w:ascii="Arial" w:eastAsiaTheme="majorHAnsi" w:hAnsi="Arial" w:cs="Arial"/>
          <w:b/>
          <w:bCs/>
          <w:color w:val="000000"/>
          <w:sz w:val="22"/>
          <w:szCs w:val="22"/>
        </w:rPr>
        <w:t>План корректировки м</w:t>
      </w:r>
      <w:r>
        <w:rPr>
          <w:lang w:val="ru-RU"/>
          <w:rFonts w:ascii="Arial" w:eastAsiaTheme="majorHAnsi" w:hAnsi="Arial" w:cs="Arial"/>
          <w:b/>
          <w:bCs/>
          <w:color w:val="000000"/>
          <w:sz w:val="22"/>
          <w:szCs w:val="22"/>
        </w:rPr>
        <w:t xml:space="preserve">ер </w:t>
      </w:r>
      <w:r>
        <w:rPr>
          <w:lang w:val="ru-RU"/>
          <w:rFonts w:ascii="Arial" w:eastAsiaTheme="majorHAnsi" w:hAnsi="Arial" w:cs="Arial"/>
          <w:b/>
          <w:bCs/>
          <w:color w:val="000000"/>
          <w:sz w:val="22"/>
          <w:szCs w:val="22"/>
        </w:rPr>
        <w:t xml:space="preserve">по уровням </w:t>
      </w:r>
      <w:r>
        <w:rPr>
          <w:lang w:val="ru-RU"/>
          <w:rFonts w:ascii="Arial" w:eastAsiaTheme="majorHAnsi" w:hAnsi="Arial" w:cs="Arial"/>
          <w:b/>
          <w:bCs/>
          <w:color w:val="000000"/>
          <w:sz w:val="22"/>
          <w:szCs w:val="22"/>
        </w:rPr>
        <w:t>социального дистанцирования</w:t>
      </w:r>
      <w:r>
        <w:rPr>
          <w:lang w:val="ru-RU"/>
          <w:rFonts w:ascii="Arial" w:eastAsiaTheme="majorHAnsi" w:hAnsi="Arial" w:cs="Arial"/>
          <w:b/>
          <w:bCs/>
          <w:color w:val="000000"/>
          <w:sz w:val="22"/>
          <w:szCs w:val="22"/>
        </w:rPr>
        <w:t xml:space="preserve"> </w:t>
      </w:r>
      <w:r>
        <w:rPr>
          <w:lang w:val="ru-RU"/>
          <w:rFonts w:ascii="Arial" w:eastAsiaTheme="majorHAnsi" w:hAnsi="Arial" w:cs="Arial"/>
          <w:b/>
          <w:bCs/>
          <w:color w:val="000000"/>
          <w:sz w:val="22"/>
          <w:szCs w:val="22"/>
        </w:rPr>
        <w:t>до 3 октября (вс)</w:t>
      </w:r>
    </w:p>
    <w:tbl>
      <w:tblPr>
        <w:tblOverlap w:val="never"/>
        <w:tblW w:w="10440" w:type="dxa"/>
        <w:tblInd w:w="-3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8"/>
        <w:gridCol w:w="1455"/>
        <w:gridCol w:w="3653"/>
        <w:gridCol w:w="3754"/>
      </w:tblGrid>
      <w:tr>
        <w:trPr>
          <w:trHeight w:val="486" w:hRule="atLeast"/>
        </w:trPr>
        <w:tc>
          <w:tcPr>
            <w:tcW w:w="2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32" w:hanging="232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>Категории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32" w:hanging="232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>4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>-й</w:t>
            </w:r>
            <w:r>
              <w:rPr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>уровень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32" w:hanging="232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>3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>-й</w:t>
            </w:r>
            <w:r>
              <w:rPr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  <w:t>уровень</w:t>
            </w:r>
          </w:p>
        </w:tc>
      </w:tr>
      <w:tr>
        <w:trPr>
          <w:trHeight w:val="1325" w:hRule="atLeast"/>
        </w:trPr>
        <w:tc>
          <w:tcPr>
            <w:tcW w:w="22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 w:val="18"/>
                <w:szCs w:val="18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Критерии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перехода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уровня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>Число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>выявленных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случаев заражения коронавирусом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за одну неделю,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в среднем,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>от 4 чел.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на 100 тыс. населения</w:t>
            </w:r>
          </w:p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2"/>
                <w:szCs w:val="2"/>
                <w:kern w:val="0"/>
                <w:spacing w:val="-10"/>
              </w:rPr>
            </w:pPr>
          </w:p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* Сеул 389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.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Кёнги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537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.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, Инчхон 118,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в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столичных регионах от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1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тыс.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чел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.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и более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>Число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>выявленных случаев заражения коронавирусом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за одну неделю,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в среднем, от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>2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4"/>
              </w:rPr>
              <w:t xml:space="preserve"> чел. на 100 тыс. населения</w:t>
            </w:r>
          </w:p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2"/>
                <w:szCs w:val="2"/>
                <w:kern w:val="0"/>
                <w:spacing w:val="-10"/>
              </w:rPr>
            </w:pPr>
          </w:p>
          <w:p>
            <w:pPr>
              <w:ind w:left="228" w:hanging="228"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* Тэджон 30,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Сэджон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7,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Чхунгбук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32,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Чхунгнам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42, Кванджу 29, Чонбук 36, Чоннам 37, Тэгу 49, Кенгбук 53, Пусан 68, Ульсан 23,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Кеннам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67,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Канвон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31, Чеджу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от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13 чел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. и более</w:t>
            </w:r>
          </w:p>
        </w:tc>
      </w:tr>
      <w:tr>
        <w:trPr>
          <w:trHeight w:val="392" w:hRule="atLeast"/>
        </w:trPr>
        <w:tc>
          <w:tcPr>
            <w:tcW w:w="0" w:type="auto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lang w:val="ru-RU"/>
                <w:rFonts w:ascii="Arial" w:eastAsiaTheme="majorHAnsi" w:hAnsi="Arial" w:cs="Arial"/>
                <w:color w:val="000000"/>
                <w:sz w:val="18"/>
                <w:szCs w:val="18"/>
                <w:kern w:val="0"/>
              </w:rPr>
            </w:pPr>
          </w:p>
        </w:tc>
        <w:tc>
          <w:tcPr>
            <w:tcW w:w="81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28" w:hanging="228"/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 w:val="36"/>
                <w:szCs w:val="36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*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Города и уезды в н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естоличны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х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регион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ах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 xml:space="preserve"> с населением менее 100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 xml:space="preserve"> тыс. человек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 xml:space="preserve">придерживаются автономного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>регулирования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>уровн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>ей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  <w:spacing w:val="-10"/>
              </w:rPr>
              <w:t xml:space="preserve"> социального дистанцирования</w:t>
            </w:r>
          </w:p>
        </w:tc>
      </w:tr>
      <w:tr>
        <w:trPr>
          <w:trHeight w:val="1061" w:hRule="atLeast"/>
        </w:trPr>
        <w:tc>
          <w:tcPr>
            <w:tcW w:w="2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" w:hanging="8"/>
              <w:wordWrap/>
              <w:snapToGrid w:val="0"/>
              <w:jc w:val="center"/>
              <w:tabs>
                <w:tab w:val="left" w:pos="462"/>
              </w:tabs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 w:val="18"/>
                <w:szCs w:val="18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Частные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встречи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до 18:00 в пределах 4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-х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чел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.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,</w:t>
            </w:r>
          </w:p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после 18:00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до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2 человек</w:t>
            </w:r>
          </w:p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*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Лица, п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рошедшие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>полный курс вакцинации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могут проводить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частные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 встречи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 в ресторанах, кафе и дома до 6 человек.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возможно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до 4 человек</w:t>
            </w:r>
          </w:p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*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Лица, п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рошедшие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>полный курс вакцинации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 могут проводить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>частные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auto"/>
                <w:spacing w:val="-10"/>
              </w:rPr>
              <w:t>встречи до 8 человек</w:t>
            </w:r>
          </w:p>
        </w:tc>
      </w:tr>
      <w:tr>
        <w:trPr>
          <w:trHeight w:val="881" w:hRule="atLeast"/>
        </w:trPr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 w:val="18"/>
                <w:szCs w:val="18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Общественные места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 w:val="18"/>
                <w:szCs w:val="18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Запрещены с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бор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ы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left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Развлекательные заведения, караоке-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бары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, ночные клубы,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тематические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бар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ы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, бар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ы для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знакомств,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дискотеки для пожилых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и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танцплощадки, холдем пабы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и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игровые центры холдем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b/>
                <w:bCs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-</w:t>
            </w:r>
          </w:p>
        </w:tc>
      </w:tr>
      <w:tr>
        <w:trPr>
          <w:trHeight w:val="1809" w:hRule="atLeast"/>
        </w:trPr>
        <w:tc>
          <w:tcPr>
            <w:tcW w:w="0" w:type="auto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 w:val="18"/>
                <w:szCs w:val="18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Ограничени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е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деятельности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до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22:00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left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караоке, рестораны и кофейни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  <w:vertAlign w:val="superscript"/>
              </w:rPr>
              <w:t>*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,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крытые спортивные помещения, кинотеатры, компьютерные залы,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учебные заведения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и прочее в пределах 1~3 групп (все общественные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>места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за исключением тех, что под запретом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24"/>
              </w:rPr>
              <w:t>)</w:t>
            </w:r>
          </w:p>
          <w:p>
            <w:pPr>
              <w:wordWrap/>
              <w:snapToGrid w:val="0"/>
              <w:jc w:val="left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*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>В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кафе и ресторан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>ах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возможны частные встречи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до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6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>человек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в случае, если прошедших полный курс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вакцин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>ации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составляет до 4-х человек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(до 22:00)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left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Развлекательные заведения, холдем пабы и игровые центры холдем, дискотеки для пожилых и танцплощадки, караоке, кафе и кофешопы, общественные бани, бассейны, организации прямых продаж товаров с посещением </w:t>
            </w:r>
          </w:p>
          <w:p>
            <w:pPr>
              <w:wordWrap/>
              <w:snapToGrid w:val="0"/>
              <w:jc w:val="left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spacing w:val="-10"/>
              </w:rPr>
              <w:t xml:space="preserve">*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При посещении общественных мест возможны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>частные встречи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до 8 человек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в случае, если среди них будут находиться лица, прошедшие полный курс вакцинации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(одинаково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>по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 xml:space="preserve"> всей страны)</w:t>
            </w:r>
          </w:p>
        </w:tc>
      </w:tr>
      <w:tr>
        <w:trPr>
          <w:trHeight w:val="633" w:hRule="atLeast"/>
        </w:trPr>
        <w:tc>
          <w:tcPr>
            <w:tcW w:w="2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Общественные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м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ероприятия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>запрет на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 xml:space="preserve"> мероприятия и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 xml:space="preserve"> собрания, за исключением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 xml:space="preserve">одиночных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>п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>икетов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 xml:space="preserve"> 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 xml:space="preserve">Запрещены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24"/>
              </w:rPr>
              <w:t xml:space="preserve">мероприятия и собрания свыше 50 человек </w:t>
            </w:r>
          </w:p>
        </w:tc>
      </w:tr>
      <w:tr>
        <w:trPr>
          <w:trHeight w:val="633" w:hRule="atLeast"/>
        </w:trPr>
        <w:tc>
          <w:tcPr>
            <w:tcW w:w="2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" w:hanging="8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Спортивные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соревнования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матч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и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без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зрителей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(внутри пощения) 20% от вместимости стадиона,</w:t>
            </w:r>
          </w:p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(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вне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помещения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) 30% 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от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spacing w:val="-10"/>
              </w:rPr>
              <w:t>вместимости</w:t>
            </w:r>
          </w:p>
        </w:tc>
      </w:tr>
      <w:tr>
        <w:trPr>
          <w:trHeight w:val="577" w:hRule="atLeast"/>
        </w:trPr>
        <w:tc>
          <w:tcPr>
            <w:tcW w:w="2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12" w:hanging="312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Свадебные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8"/>
                <w:szCs w:val="18"/>
                <w:kern w:val="0"/>
              </w:rPr>
              <w:t>залы</w:t>
            </w:r>
          </w:p>
        </w:tc>
        <w:tc>
          <w:tcPr>
            <w:tcW w:w="81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u w:val="single" w:color="000000"/>
                <w:spacing w:val="-10"/>
              </w:rPr>
              <w:t>Допускается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u w:val="single" w:color="000000"/>
                <w:spacing w:val="-1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b/>
                <w:bCs/>
                <w:color w:val="000000"/>
                <w:w w:val="95"/>
                <w:sz w:val="18"/>
                <w:szCs w:val="18"/>
                <w:kern w:val="0"/>
                <w:u w:val="single" w:color="000000"/>
                <w:spacing w:val="-10"/>
              </w:rPr>
              <w:t>максимум до 49 человек</w:t>
            </w:r>
          </w:p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4"/>
                <w:szCs w:val="14"/>
                <w:kern w:val="0"/>
                <w:u w:val="single" w:color="000000"/>
                <w:spacing w:val="-10"/>
              </w:rPr>
              <w:t>* Свадебные церемонии без общепита до 99 человек</w:t>
            </w:r>
          </w:p>
        </w:tc>
      </w:tr>
      <w:tr>
        <w:trPr>
          <w:trHeight w:val="617" w:hRule="atLeast"/>
        </w:trPr>
        <w:tc>
          <w:tcPr>
            <w:tcW w:w="2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" w:hanging="8"/>
              <w:wordWrap/>
              <w:snapToGrid w:val="0"/>
              <w:jc w:val="center"/>
              <w:spacing w:after="0" w:line="288" w:lineRule="auto"/>
              <w:textAlignment w:val="baseline"/>
              <w:rPr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Theme="majorHAnsi" w:hAnsi="Arial" w:cs="Arial"/>
                <w:b/>
                <w:bCs/>
                <w:color w:val="000000"/>
                <w:sz w:val="16"/>
                <w:szCs w:val="16"/>
                <w:kern w:val="0"/>
              </w:rPr>
              <w:t>Религиозная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6"/>
                <w:szCs w:val="16"/>
                <w:kern w:val="0"/>
              </w:rPr>
              <w:t xml:space="preserve"> </w:t>
            </w:r>
            <w:r>
              <w:rPr>
                <w:rFonts w:ascii="Arial" w:eastAsiaTheme="majorHAnsi" w:hAnsi="Arial" w:cs="Arial"/>
                <w:b/>
                <w:bCs/>
                <w:color w:val="000000"/>
                <w:sz w:val="16"/>
                <w:szCs w:val="16"/>
                <w:kern w:val="0"/>
              </w:rPr>
              <w:t>деятельность</w:t>
            </w:r>
          </w:p>
        </w:tc>
        <w:tc>
          <w:tcPr>
            <w:tcW w:w="4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10% от вместимости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.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Д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опускается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максимум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до 99 человек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.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Запрещены собрания и мероприятия, предоставление питания и ночлега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64" w:lineRule="auto"/>
              <w:textAlignment w:val="baseline"/>
              <w:rPr>
                <w:lang w:val="ru-RU"/>
                <w:rFonts w:ascii="Arial" w:eastAsiaTheme="majorHAnsi" w:hAnsi="Arial" w:cs="Arial"/>
                <w:color w:val="000000"/>
                <w:szCs w:val="20"/>
                <w:kern w:val="0"/>
              </w:rPr>
            </w:pP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20% от вместимости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.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Запрещены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 собрани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я и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мероприяти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я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,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предоставление питания и ночлега. Допускаются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 мероприятия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 на открытом воздухе 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>до</w:t>
            </w:r>
            <w:r>
              <w:rPr>
                <w:lang w:val="ru-RU"/>
                <w:rFonts w:ascii="Arial" w:eastAsiaTheme="majorHAnsi" w:hAnsi="Arial" w:cs="Arial"/>
                <w:color w:val="000000"/>
                <w:w w:val="95"/>
                <w:sz w:val="16"/>
                <w:szCs w:val="16"/>
                <w:kern w:val="0"/>
              </w:rPr>
              <w:t xml:space="preserve"> 50 человек</w:t>
            </w:r>
          </w:p>
        </w:tc>
      </w:tr>
    </w:tbl>
    <w:p>
      <w:pPr>
        <w:pStyle w:val="a3"/>
        <w:wordWrap/>
        <w:jc w:val="center"/>
        <w:spacing w:after="20" w:line="192" w:lineRule="auto"/>
        <w:rPr>
          <w:lang w:val="ru-RU"/>
          <w:rFonts w:ascii="Arial" w:eastAsia="맑은 고딕" w:hAnsi="Arial" w:cs="Arial"/>
          <w:b/>
          <w:bCs/>
          <w:color w:val="000000"/>
        </w:rPr>
      </w:pPr>
      <w:r>
        <w:rPr>
          <w:lang w:val="ru-RU"/>
          <w:rFonts w:ascii="Arial" w:eastAsia="HY헤드라인M" w:hAnsi="Arial" w:cs="Arial"/>
          <w:b/>
          <w:bCs/>
          <w:sz w:val="30"/>
          <w:szCs w:val="30"/>
        </w:rPr>
        <w:t>□</w:t>
      </w:r>
      <w:r>
        <w:rPr>
          <w:lang w:val="ru-RU"/>
          <w:rFonts w:ascii="Arial" w:eastAsia="HY헤드라인M" w:hAnsi="Arial" w:cs="Arial"/>
          <w:sz w:val="30"/>
          <w:szCs w:val="30"/>
        </w:rPr>
        <w:t xml:space="preserve"> </w:t>
      </w:r>
      <w:r>
        <w:rPr>
          <w:lang w:val="ru-RU"/>
          <w:rFonts w:ascii="Arial" w:eastAsia="맑은 고딕" w:hAnsi="Arial" w:cs="Arial"/>
          <w:b/>
          <w:bCs/>
          <w:color w:val="000000"/>
        </w:rPr>
        <w:t xml:space="preserve">Основные пункты </w:t>
      </w:r>
      <w:r>
        <w:rPr>
          <w:lang w:val="ru-RU"/>
          <w:rFonts w:ascii="Arial" w:eastAsia="맑은 고딕" w:hAnsi="Arial" w:cs="Arial"/>
          <w:b/>
          <w:bCs/>
          <w:color w:val="000000"/>
        </w:rPr>
        <w:t xml:space="preserve">изменений </w:t>
      </w:r>
      <w:r>
        <w:rPr>
          <w:lang w:val="ru-RU"/>
          <w:rFonts w:ascii="Arial" w:eastAsia="맑은 고딕" w:hAnsi="Arial" w:cs="Arial"/>
          <w:b/>
          <w:bCs/>
          <w:color w:val="000000"/>
        </w:rPr>
        <w:t xml:space="preserve">в </w:t>
      </w:r>
      <w:r>
        <w:rPr>
          <w:lang w:val="ru-RU"/>
          <w:rFonts w:ascii="Arial" w:eastAsia="맑은 고딕" w:hAnsi="Arial" w:cs="Arial"/>
          <w:b/>
          <w:bCs/>
          <w:color w:val="000000"/>
        </w:rPr>
        <w:t>особ</w:t>
      </w:r>
      <w:r>
        <w:rPr>
          <w:lang w:val="ru-RU"/>
          <w:rFonts w:ascii="Arial" w:eastAsia="맑은 고딕" w:hAnsi="Arial" w:cs="Arial"/>
          <w:b/>
          <w:bCs/>
          <w:color w:val="000000"/>
        </w:rPr>
        <w:t>ый</w:t>
      </w:r>
      <w:r>
        <w:rPr>
          <w:lang w:val="ru-RU"/>
          <w:rFonts w:ascii="Arial" w:eastAsia="맑은 고딕" w:hAnsi="Arial" w:cs="Arial"/>
          <w:b/>
          <w:bCs/>
          <w:color w:val="000000"/>
        </w:rPr>
        <w:t xml:space="preserve"> период карантина на </w:t>
      </w:r>
      <w:r>
        <w:rPr>
          <w:lang w:val="ru-RU"/>
          <w:rFonts w:ascii="Arial" w:eastAsia="맑은 고딕" w:hAnsi="Arial" w:cs="Arial"/>
          <w:b/>
          <w:bCs/>
          <w:color w:val="000000"/>
        </w:rPr>
        <w:t>Чхусок</w:t>
      </w:r>
    </w:p>
    <w:p>
      <w:pPr>
        <w:pStyle w:val="a3"/>
        <w:ind w:firstLineChars="250" w:firstLine="500"/>
        <w:wordWrap/>
        <w:jc w:val="center"/>
        <w:spacing w:after="20" w:line="192" w:lineRule="auto"/>
        <w:rPr>
          <w:lang w:val="ru-RU"/>
          <w:rFonts w:ascii="Arial" w:eastAsia="Times New Roman" w:hAnsi="Arial" w:cs="Arial"/>
        </w:rPr>
      </w:pPr>
      <w:r>
        <w:rPr>
          <w:lang w:val="ru-RU"/>
          <w:rFonts w:ascii="Arial" w:eastAsia="맑은 고딕" w:hAnsi="Arial" w:cs="Arial"/>
          <w:b/>
          <w:bCs/>
          <w:color w:val="000000"/>
        </w:rPr>
        <w:t>с 17 сентября (</w:t>
      </w:r>
      <w:r>
        <w:rPr>
          <w:lang w:val="ru-RU"/>
          <w:rFonts w:ascii="Arial" w:eastAsia="맑은 고딕" w:hAnsi="Arial" w:cs="Arial"/>
          <w:b/>
          <w:bCs/>
          <w:color w:val="000000"/>
        </w:rPr>
        <w:t>пт</w:t>
      </w:r>
      <w:r>
        <w:rPr>
          <w:lang w:val="ru-RU"/>
          <w:rFonts w:ascii="Arial" w:eastAsia="맑은 고딕" w:hAnsi="Arial" w:cs="Arial"/>
          <w:b/>
          <w:bCs/>
          <w:color w:val="000000"/>
        </w:rPr>
        <w:t>) по 26 сентября (</w:t>
      </w:r>
      <w:r>
        <w:rPr>
          <w:lang w:val="ru-RU"/>
          <w:rFonts w:ascii="Arial" w:eastAsia="맑은 고딕" w:hAnsi="Arial" w:cs="Arial"/>
          <w:b/>
          <w:bCs/>
          <w:color w:val="000000"/>
        </w:rPr>
        <w:t>вс</w:t>
      </w:r>
      <w:r>
        <w:rPr>
          <w:lang w:val="ru-RU"/>
          <w:rFonts w:ascii="Arial" w:eastAsia="맑은 고딕" w:hAnsi="Arial" w:cs="Arial"/>
          <w:b/>
          <w:bCs/>
          <w:color w:val="000000"/>
        </w:rPr>
        <w:t>)</w:t>
      </w:r>
    </w:p>
    <w:p>
      <w:pPr>
        <w:ind w:left="2404" w:hanging="2404"/>
        <w:wordWrap/>
        <w:snapToGrid w:val="0"/>
        <w:jc w:val="left"/>
        <w:tabs>
          <w:tab w:val="left" w:pos="6768"/>
        </w:tabs>
        <w:spacing w:after="0" w:before="160" w:line="288" w:lineRule="auto"/>
        <w:textAlignment w:val="baseline"/>
        <w:rPr>
          <w:lang w:val="ru-RU"/>
          <w:rFonts w:ascii="Arial" w:eastAsia="Times New Roman" w:hAnsi="Arial" w:cs="Arial"/>
          <w:color w:val="000000"/>
          <w:sz w:val="36"/>
          <w:szCs w:val="36"/>
          <w:kern w:val="0"/>
        </w:rPr>
      </w:pPr>
      <w:r>
        <w:rPr>
          <w:lang w:val="ru-RU"/>
          <w:rFonts w:ascii="Arial" w:eastAsia="바탕" w:hAnsi="Arial" w:cs="Arial"/>
          <w:color w:val="000000"/>
          <w:szCs w:val="20"/>
          <w:kern w:val="0"/>
        </w:rPr>
        <w:t>◦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Семейные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сборы :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в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озможны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встречи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до 8 человек,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включая 4 чел.,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прошедших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полный курс вакцинации </w:t>
      </w:r>
    </w:p>
    <w:p>
      <w:pPr>
        <w:ind w:left="2040" w:hanging="2040"/>
        <w:wordWrap/>
        <w:snapToGrid w:val="0"/>
        <w:jc w:val="left"/>
        <w:tabs>
          <w:tab w:val="left" w:pos="6768"/>
        </w:tabs>
        <w:spacing w:after="0" w:before="160" w:line="288" w:lineRule="auto"/>
        <w:textAlignment w:val="baseline"/>
        <w:rPr>
          <w:lang w:val="ru-RU"/>
          <w:rFonts w:ascii="Arial" w:eastAsia="Times New Roman" w:hAnsi="Arial" w:cs="Arial"/>
          <w:color w:val="000000"/>
          <w:sz w:val="36"/>
          <w:szCs w:val="36"/>
          <w:kern w:val="0"/>
        </w:rPr>
      </w:pPr>
      <w:r>
        <w:rPr>
          <w:lang w:val="ru-RU"/>
          <w:rFonts w:ascii="Arial" w:eastAsia="바탕" w:hAnsi="Arial" w:cs="Arial"/>
          <w:color w:val="000000"/>
          <w:szCs w:val="20"/>
          <w:kern w:val="0"/>
        </w:rPr>
        <w:t>◦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Транспорт :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продажа билетов н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а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поезда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только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с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местами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у окна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, плата за проезд по скоростным автомагистралям будет взиматься как в обычные дни,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запрещены обеды внутри помещений в местах отдыха на авто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ма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гистралях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, загруженность прибрежных пассажирских судов возможна до 50%</w:t>
      </w:r>
    </w:p>
    <w:p>
      <w:pPr>
        <w:ind w:left="2474" w:hanging="2474"/>
        <w:wordWrap/>
        <w:snapToGrid w:val="0"/>
        <w:jc w:val="left"/>
        <w:tabs>
          <w:tab w:val="left" w:pos="6768"/>
        </w:tabs>
        <w:spacing w:after="0" w:before="160" w:line="288" w:lineRule="auto"/>
        <w:textAlignment w:val="baseline"/>
        <w:rPr>
          <w:lang w:val="ru-RU"/>
          <w:rFonts w:ascii="Arial" w:eastAsia="Times New Roman" w:hAnsi="Arial" w:cs="Arial"/>
          <w:color w:val="000000"/>
          <w:sz w:val="36"/>
          <w:szCs w:val="36"/>
          <w:kern w:val="0"/>
        </w:rPr>
      </w:pPr>
      <w:r>
        <w:rPr>
          <w:lang w:val="ru-RU"/>
          <w:rFonts w:ascii="Arial" w:eastAsia="바탕" w:hAnsi="Arial" w:cs="Arial"/>
          <w:color w:val="000000"/>
          <w:szCs w:val="20"/>
          <w:kern w:val="0"/>
        </w:rPr>
        <w:t>◦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Посещени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я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: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введение с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истем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ы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предварительно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й регистрации для посещений в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больницах и домах для престарелых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(контактные визиты доступны только для стационарных пациентов и посетителей, прошедших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полный курс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вакцинаци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и</w:t>
      </w:r>
      <w:r>
        <w:rPr>
          <w:lang w:val="ru-RU"/>
          <w:rFonts w:ascii="Arial" w:eastAsia="맑은 고딕" w:hAnsi="Arial" w:cs="Arial"/>
          <w:color w:val="000000"/>
          <w:szCs w:val="20"/>
          <w:kern w:val="0"/>
        </w:rPr>
        <w:t>)</w:t>
      </w:r>
    </w:p>
    <w:p>
      <w:pPr>
        <w:ind w:left="426" w:hanging="426"/>
        <w:wordWrap/>
        <w:jc w:val="right"/>
        <w:spacing w:after="0" w:line="216" w:lineRule="auto"/>
        <w:textAlignment w:val="baseline"/>
        <w:rPr>
          <w:lang w:val="ru-RU"/>
          <w:rFonts w:ascii="Arial" w:eastAsia="Times New Roman" w:hAnsi="Arial" w:cs="Arial"/>
          <w:color w:val="000000"/>
          <w:sz w:val="22"/>
          <w:kern w:val="0"/>
        </w:rPr>
      </w:pPr>
    </w:p>
    <w:p>
      <w:pPr>
        <w:ind w:left="426" w:hanging="426"/>
        <w:wordWrap/>
        <w:jc w:val="right"/>
        <w:spacing w:after="0" w:line="216" w:lineRule="auto"/>
        <w:textAlignment w:val="baseline"/>
        <w:rPr>
          <w:lang w:val="ru-RU"/>
          <w:rFonts w:ascii="Arial" w:eastAsia="굴림" w:hAnsi="Arial" w:cs="Arial"/>
          <w:color w:val="000000"/>
          <w:sz w:val="24"/>
          <w:szCs w:val="24"/>
          <w:kern w:val="0"/>
        </w:rPr>
      </w:pP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>&lt;</w:t>
      </w: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>Данный перевод предоставлен</w:t>
      </w: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 xml:space="preserve"> колл-центр</w:t>
      </w: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>ом</w:t>
      </w: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>Данури</w:t>
      </w: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 xml:space="preserve"> </w:t>
      </w: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>1577-1366</w:t>
      </w:r>
      <w:r>
        <w:rPr>
          <w:lang w:val="ru-RU"/>
          <w:rFonts w:ascii="Arial" w:eastAsia="맑은 고딕" w:hAnsi="Arial" w:cs="Arial"/>
          <w:color w:val="000000"/>
          <w:sz w:val="22"/>
          <w:kern w:val="0"/>
        </w:rPr>
        <w:t>.&gt;</w:t>
      </w: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Verdana">
    <w:panose1 w:val="020B0604030504040204"/>
    <w:family w:val="swiss"/>
    <w:charset w:val="00"/>
    <w:notTrueType w:val="false"/>
    <w:sig w:usb0="A00006FF" w:usb1="4000205B" w:usb2="00000010" w:usb3="00000001" w:csb0="2000019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한양신명조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0065906"/>
    <w:multiLevelType w:val="hybridMultilevel"/>
    <w:tmpl w:val="d884e184"/>
    <w:lvl w:ilvl="0" w:tplc="20a4adc4">
      <w:numFmt w:val="bullet"/>
      <w:lvlText w:val="□"/>
      <w:lvlJc w:val="left"/>
      <w:pPr>
        <w:ind w:left="476" w:hanging="360"/>
      </w:pPr>
      <w:rPr>
        <w:rFonts w:ascii="HY헤드라인M" w:eastAsia="HY헤드라인M" w:hAnsi="HY헤드라인M" w:cs="굴림" w:hint="eastAsia"/>
        <w:b/>
        <w:sz w:val="22"/>
        <w:szCs w:val="8"/>
      </w:rPr>
    </w:lvl>
    <w:lvl w:ilvl="1" w:tentative="on" w:tplc="4090003">
      <w:start w:val="1"/>
      <w:numFmt w:val="bullet"/>
      <w:lvlText w:val=""/>
      <w:lvlJc w:val="left"/>
      <w:pPr>
        <w:ind w:left="916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316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1716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116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516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2916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316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3716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paragraph" w:styleId="a4">
    <w:name w:val="List Paragraph"/>
    <w:uiPriority w:val="34"/>
    <w:basedOn w:val="a"/>
    <w:qFormat/>
    <w:pPr>
      <w:ind w:leftChars="400" w:left="800"/>
    </w:pPr>
  </w:style>
  <w:style w:type="table" w:styleId="a5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본문(휴명18)"/>
    <w:basedOn w:val="a"/>
    <w:pPr>
      <w:ind w:left="1218" w:hanging="610"/>
      <w:spacing w:after="0" w:line="384" w:lineRule="auto"/>
      <w:textAlignment w:val="baseline"/>
    </w:pPr>
    <w:rPr>
      <w:rFonts w:ascii="한양신명조" w:eastAsia="굴림" w:hAnsi="굴림" w:cs="굴림"/>
      <w:color w:val="000000"/>
      <w:sz w:val="36"/>
      <w:szCs w:val="36"/>
      <w:kern w:val="0"/>
    </w:rPr>
  </w:style>
  <w:style w:type="paragraph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6"/>
  </w:style>
  <w:style w:type="paragraph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이선환</cp:lastModifiedBy>
  <cp:revision>1</cp:revision>
  <dcterms:created xsi:type="dcterms:W3CDTF">2021-09-06T02:32:00Z</dcterms:created>
  <dcterms:modified xsi:type="dcterms:W3CDTF">2021-09-07T23:58:39Z</dcterms:modified>
  <cp:version>1000.0100.01</cp:version>
</cp:coreProperties>
</file>