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7"/>
        <w:gridCol w:w="2981"/>
        <w:gridCol w:w="2970"/>
      </w:tblGrid>
      <w:tr w:rsidR="00060BB9" w:rsidRPr="00D45784" w14:paraId="3895B84F" w14:textId="77777777">
        <w:trPr>
          <w:trHeight w:val="103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57CE9D" w14:textId="77777777" w:rsidR="00060BB9" w:rsidRPr="00D45784" w:rsidRDefault="00060BB9">
            <w:pPr>
              <w:spacing w:after="0" w:line="384" w:lineRule="auto"/>
              <w:textAlignment w:val="baseline"/>
              <w:rPr>
                <w:rFonts w:ascii="Arial" w:eastAsia="맑은 고딕" w:hAnsi="Arial" w:cs="Arial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9E2D96" w14:textId="77777777" w:rsidR="00060BB9" w:rsidRPr="00D45784" w:rsidRDefault="00060BB9">
            <w:pPr>
              <w:spacing w:after="0" w:line="384" w:lineRule="auto"/>
              <w:textAlignment w:val="baseline"/>
              <w:rPr>
                <w:rFonts w:ascii="Arial" w:eastAsia="맑은 고딕" w:hAnsi="Arial" w:cs="Arial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479116" w14:textId="77777777" w:rsidR="00060BB9" w:rsidRPr="00D45784" w:rsidRDefault="00060BB9">
            <w:pPr>
              <w:spacing w:after="0" w:line="384" w:lineRule="auto"/>
              <w:textAlignment w:val="baseline"/>
              <w:rPr>
                <w:rFonts w:ascii="Arial" w:eastAsia="맑은 고딕" w:hAnsi="Arial" w:cs="Arial"/>
                <w:color w:val="000000"/>
                <w:kern w:val="0"/>
                <w:sz w:val="2"/>
                <w:szCs w:val="2"/>
              </w:rPr>
            </w:pPr>
          </w:p>
        </w:tc>
      </w:tr>
      <w:tr w:rsidR="00060BB9" w:rsidRPr="00D45784" w14:paraId="58AAE9D1" w14:textId="77777777">
        <w:trPr>
          <w:trHeight w:val="588"/>
        </w:trPr>
        <w:tc>
          <w:tcPr>
            <w:tcW w:w="97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CC74D5" w14:textId="77777777" w:rsidR="00060BB9" w:rsidRPr="00D45784" w:rsidRDefault="00101061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D45784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40"/>
                <w:szCs w:val="40"/>
              </w:rPr>
              <w:t>HƯỚNG DẪN TIÊM VẮC XIN NOVABAX CHO NGƯỜI NƯỚC NGOÀI LƯU TRÚ TẠI HÀN QUỐC( TRÊN 18 TUỔI)</w:t>
            </w:r>
          </w:p>
        </w:tc>
      </w:tr>
      <w:tr w:rsidR="00060BB9" w:rsidRPr="00D45784" w14:paraId="7FB8F85D" w14:textId="77777777">
        <w:trPr>
          <w:trHeight w:val="102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8D9FB" w14:textId="77777777" w:rsidR="00060BB9" w:rsidRPr="00D45784" w:rsidRDefault="00060BB9">
            <w:pPr>
              <w:spacing w:after="0" w:line="312" w:lineRule="auto"/>
              <w:textAlignment w:val="baseline"/>
              <w:rPr>
                <w:rFonts w:ascii="Arial" w:eastAsia="맑은 고딕" w:hAnsi="Arial" w:cs="Arial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2F50F8" w14:textId="77777777" w:rsidR="00060BB9" w:rsidRPr="00D45784" w:rsidRDefault="00060BB9">
            <w:pPr>
              <w:spacing w:after="0" w:line="312" w:lineRule="auto"/>
              <w:textAlignment w:val="baseline"/>
              <w:rPr>
                <w:rFonts w:ascii="Arial" w:eastAsia="맑은 고딕" w:hAnsi="Arial" w:cs="Arial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420B52" w14:textId="77777777" w:rsidR="00060BB9" w:rsidRPr="00D45784" w:rsidRDefault="00060BB9">
            <w:pPr>
              <w:spacing w:after="0" w:line="312" w:lineRule="auto"/>
              <w:textAlignment w:val="baseline"/>
              <w:rPr>
                <w:rFonts w:ascii="Arial" w:eastAsia="맑은 고딕" w:hAnsi="Arial" w:cs="Arial"/>
                <w:color w:val="000000"/>
                <w:kern w:val="0"/>
                <w:sz w:val="2"/>
                <w:szCs w:val="2"/>
              </w:rPr>
            </w:pPr>
          </w:p>
        </w:tc>
      </w:tr>
    </w:tbl>
    <w:p w14:paraId="761D1519" w14:textId="77777777" w:rsidR="00060BB9" w:rsidRPr="00D45784" w:rsidRDefault="00060BB9">
      <w:pPr>
        <w:spacing w:after="0" w:line="360" w:lineRule="auto"/>
        <w:textAlignment w:val="baseline"/>
        <w:rPr>
          <w:rFonts w:ascii="Arial" w:eastAsia="맑은 고딕" w:hAnsi="Arial" w:cs="Arial"/>
          <w:vanish/>
          <w:color w:val="000000"/>
          <w:kern w:val="0"/>
          <w:szCs w:val="20"/>
        </w:rPr>
      </w:pPr>
    </w:p>
    <w:p w14:paraId="54BF5019" w14:textId="77777777" w:rsidR="00060BB9" w:rsidRPr="00D45784" w:rsidRDefault="00060BB9">
      <w:pPr>
        <w:wordWrap/>
        <w:spacing w:after="0" w:line="360" w:lineRule="auto"/>
        <w:jc w:val="center"/>
        <w:textAlignment w:val="baseline"/>
        <w:rPr>
          <w:rFonts w:ascii="Arial" w:eastAsia="맑은 고딕" w:hAnsi="Arial" w:cs="Arial"/>
          <w:vanish/>
          <w:color w:val="000000"/>
          <w:kern w:val="0"/>
          <w:szCs w:val="20"/>
        </w:rPr>
      </w:pPr>
    </w:p>
    <w:p w14:paraId="4A70BE33" w14:textId="77777777" w:rsidR="00060BB9" w:rsidRPr="00D45784" w:rsidRDefault="00060BB9">
      <w:pPr>
        <w:wordWrap/>
        <w:spacing w:after="0" w:line="360" w:lineRule="auto"/>
        <w:jc w:val="center"/>
        <w:textAlignment w:val="baseline"/>
        <w:rPr>
          <w:rFonts w:ascii="Arial" w:eastAsia="맑은 고딕" w:hAnsi="Arial" w:cs="Arial"/>
          <w:vanish/>
          <w:color w:val="000000"/>
          <w:kern w:val="0"/>
          <w:szCs w:val="20"/>
        </w:rPr>
      </w:pPr>
    </w:p>
    <w:p w14:paraId="623D92AD" w14:textId="77777777" w:rsidR="00060BB9" w:rsidRPr="00D45784" w:rsidRDefault="00060BB9">
      <w:pPr>
        <w:wordWrap/>
        <w:spacing w:after="0" w:line="360" w:lineRule="auto"/>
        <w:jc w:val="center"/>
        <w:textAlignment w:val="baseline"/>
        <w:rPr>
          <w:rFonts w:ascii="Arial" w:eastAsia="맑은 고딕" w:hAnsi="Arial" w:cs="Arial"/>
          <w:color w:val="000000"/>
          <w:kern w:val="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60BB9" w:rsidRPr="00D45784" w14:paraId="4834182A" w14:textId="77777777">
        <w:trPr>
          <w:trHeight w:val="1299"/>
        </w:trPr>
        <w:tc>
          <w:tcPr>
            <w:tcW w:w="9628" w:type="dxa"/>
            <w:vAlign w:val="center"/>
          </w:tcPr>
          <w:p w14:paraId="6F30E31E" w14:textId="12D28969" w:rsidR="00060BB9" w:rsidRPr="00D45784" w:rsidRDefault="00101061">
            <w:pPr>
              <w:pStyle w:val="a3"/>
              <w:spacing w:line="276" w:lineRule="auto"/>
              <w:rPr>
                <w:rFonts w:ascii="Arial" w:eastAsia="맑은 고딕" w:hAnsi="Arial" w:cs="Arial"/>
                <w:sz w:val="24"/>
                <w:szCs w:val="24"/>
              </w:rPr>
            </w:pP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Gần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đây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trong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số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những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người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b</w:t>
            </w:r>
            <w:r w:rsidR="009C4FF4" w:rsidRPr="009C4FF4">
              <w:rPr>
                <w:rFonts w:ascii="Arial" w:eastAsia="맑은 고딕" w:hAnsi="Arial" w:cs="Arial"/>
                <w:sz w:val="24"/>
                <w:szCs w:val="24"/>
              </w:rPr>
              <w:t>ị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nhi</w:t>
            </w:r>
            <w:r w:rsidR="009C4FF4" w:rsidRPr="009C4FF4">
              <w:rPr>
                <w:rFonts w:ascii="Arial" w:eastAsia="맑은 고딕" w:hAnsi="Arial" w:cs="Arial"/>
                <w:sz w:val="24"/>
                <w:szCs w:val="24"/>
              </w:rPr>
              <w:t>ễm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r w:rsidRPr="00D45784">
              <w:rPr>
                <w:rFonts w:ascii="Arial" w:eastAsia="맑은 고딕" w:hAnsi="Arial" w:cs="Arial"/>
                <w:sz w:val="24"/>
                <w:szCs w:val="24"/>
              </w:rPr>
              <w:t>Corona</w:t>
            </w:r>
            <w:r w:rsidR="003F63A7">
              <w:rPr>
                <w:rFonts w:ascii="Arial" w:eastAsia="맑은 고딕" w:hAnsi="Arial" w:cs="Arial"/>
                <w:sz w:val="24"/>
                <w:szCs w:val="24"/>
              </w:rPr>
              <w:t>-</w:t>
            </w:r>
            <w:r w:rsidRPr="00D45784">
              <w:rPr>
                <w:rFonts w:ascii="Arial" w:eastAsia="맑은 고딕" w:hAnsi="Arial" w:cs="Arial"/>
                <w:sz w:val="24"/>
                <w:szCs w:val="24"/>
              </w:rPr>
              <w:t>19</w:t>
            </w:r>
            <w:r w:rsidR="003F63A7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3F63A7">
              <w:rPr>
                <w:rFonts w:ascii="Arial" w:eastAsia="맑은 고딕" w:hAnsi="Arial" w:cs="Arial" w:hint="eastAsia"/>
                <w:sz w:val="24"/>
                <w:szCs w:val="24"/>
              </w:rPr>
              <w:t>t</w:t>
            </w:r>
            <w:r w:rsidR="003F63A7">
              <w:rPr>
                <w:rFonts w:ascii="Arial" w:eastAsia="맑은 고딕" w:hAnsi="Arial" w:cs="Arial"/>
                <w:sz w:val="24"/>
                <w:szCs w:val="24"/>
              </w:rPr>
              <w:t>h</w:t>
            </w:r>
            <w:r w:rsidR="003F63A7" w:rsidRPr="003F63A7">
              <w:rPr>
                <w:rFonts w:ascii="Arial" w:eastAsia="맑은 고딕" w:hAnsi="Arial" w:cs="Arial" w:hint="eastAsia"/>
                <w:sz w:val="24"/>
                <w:szCs w:val="24"/>
              </w:rPr>
              <w:t>ì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t</w:t>
            </w:r>
            <w:r w:rsidR="009C4FF4" w:rsidRPr="009C4FF4">
              <w:rPr>
                <w:rFonts w:ascii="Arial" w:eastAsia="맑은 고딕" w:hAnsi="Arial" w:cs="Arial"/>
                <w:sz w:val="24"/>
                <w:szCs w:val="24"/>
              </w:rPr>
              <w:t>ỷ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l</w:t>
            </w:r>
            <w:r w:rsidR="009C4FF4" w:rsidRPr="009C4FF4">
              <w:rPr>
                <w:rFonts w:ascii="Arial" w:eastAsia="맑은 고딕" w:hAnsi="Arial" w:cs="Arial"/>
                <w:sz w:val="24"/>
                <w:szCs w:val="24"/>
              </w:rPr>
              <w:t>ệ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ph</w:t>
            </w:r>
            <w:r w:rsidR="009C4FF4" w:rsidRPr="009C4FF4">
              <w:rPr>
                <w:rFonts w:ascii="Arial" w:eastAsia="맑은 고딕" w:hAnsi="Arial" w:cs="Arial" w:hint="eastAsia"/>
                <w:sz w:val="24"/>
                <w:szCs w:val="24"/>
              </w:rPr>
              <w:t>á</w:t>
            </w:r>
            <w:r w:rsidR="009C4FF4" w:rsidRPr="009C4FF4">
              <w:rPr>
                <w:rFonts w:ascii="Arial" w:eastAsia="맑은 고딕" w:hAnsi="Arial" w:cs="Arial"/>
                <w:sz w:val="24"/>
                <w:szCs w:val="24"/>
              </w:rPr>
              <w:t>t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sinh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nhi</w:t>
            </w:r>
            <w:r w:rsidR="009C4FF4" w:rsidRPr="009C4FF4">
              <w:rPr>
                <w:rFonts w:ascii="Arial" w:eastAsia="맑은 고딕" w:hAnsi="Arial" w:cs="Arial"/>
                <w:sz w:val="24"/>
                <w:szCs w:val="24"/>
              </w:rPr>
              <w:t>ễm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c</w:t>
            </w:r>
            <w:r w:rsidR="009C4FF4" w:rsidRPr="009C4FF4">
              <w:rPr>
                <w:rFonts w:ascii="Arial" w:eastAsia="맑은 고딕" w:hAnsi="Arial" w:cs="Arial"/>
                <w:sz w:val="24"/>
                <w:szCs w:val="24"/>
              </w:rPr>
              <w:t>ủa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người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nước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ngoài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cao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n</w:t>
            </w:r>
            <w:r w:rsidRPr="00D45784">
              <w:rPr>
                <w:rFonts w:ascii="Arial" w:eastAsia="맑은 고딕" w:hAnsi="Arial" w:cs="Arial"/>
                <w:sz w:val="24"/>
                <w:szCs w:val="24"/>
              </w:rPr>
              <w:t>gược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lại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tỷ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lệ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tiêm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vắc-xin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Corona</w:t>
            </w:r>
            <w:r w:rsidR="003F63A7">
              <w:rPr>
                <w:rFonts w:ascii="Arial" w:eastAsia="맑은 고딕" w:hAnsi="Arial" w:cs="Arial"/>
                <w:sz w:val="24"/>
                <w:szCs w:val="24"/>
              </w:rPr>
              <w:t>-</w:t>
            </w:r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19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của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người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nước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ngoài</w:t>
            </w:r>
            <w:proofErr w:type="spellEnd"/>
            <w:r w:rsidR="009C4FF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9C4FF4">
              <w:rPr>
                <w:rFonts w:ascii="Arial" w:eastAsia="맑은 고딕" w:hAnsi="Arial" w:cs="Arial"/>
                <w:sz w:val="24"/>
                <w:szCs w:val="24"/>
              </w:rPr>
              <w:t>l</w:t>
            </w:r>
            <w:r w:rsidR="009C4FF4" w:rsidRPr="009C4FF4">
              <w:rPr>
                <w:rFonts w:ascii="Arial" w:eastAsia="맑은 고딕" w:hAnsi="Arial" w:cs="Arial"/>
                <w:sz w:val="24"/>
                <w:szCs w:val="24"/>
              </w:rPr>
              <w:t>ại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thấp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hơn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so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với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người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dân</w:t>
            </w:r>
            <w:proofErr w:type="spellEnd"/>
            <w:r w:rsidR="003F63A7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3F63A7">
              <w:rPr>
                <w:rFonts w:ascii="Arial" w:eastAsia="맑은 고딕" w:hAnsi="Arial" w:cs="Arial"/>
                <w:sz w:val="24"/>
                <w:szCs w:val="24"/>
              </w:rPr>
              <w:t>H</w:t>
            </w:r>
            <w:r w:rsidR="003F63A7" w:rsidRPr="003F63A7">
              <w:rPr>
                <w:rFonts w:ascii="Arial" w:eastAsia="맑은 고딕" w:hAnsi="Arial" w:cs="Arial" w:hint="eastAsia"/>
                <w:sz w:val="24"/>
                <w:szCs w:val="24"/>
              </w:rPr>
              <w:t>à</w:t>
            </w:r>
            <w:r w:rsidR="003F63A7" w:rsidRPr="003F63A7">
              <w:rPr>
                <w:rFonts w:ascii="Arial" w:eastAsia="맑은 고딕" w:hAnsi="Arial" w:cs="Arial"/>
                <w:sz w:val="24"/>
                <w:szCs w:val="24"/>
              </w:rPr>
              <w:t>n</w:t>
            </w:r>
            <w:proofErr w:type="spellEnd"/>
            <w:r w:rsidR="003F63A7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3F63A7">
              <w:rPr>
                <w:rFonts w:ascii="Arial" w:eastAsia="맑은 고딕" w:hAnsi="Arial" w:cs="Arial"/>
                <w:sz w:val="24"/>
                <w:szCs w:val="24"/>
              </w:rPr>
              <w:t>Qu</w:t>
            </w:r>
            <w:r w:rsidR="003F63A7" w:rsidRPr="003F63A7">
              <w:rPr>
                <w:rFonts w:ascii="Arial" w:eastAsia="맑은 고딕" w:hAnsi="Arial" w:cs="Arial"/>
                <w:sz w:val="24"/>
                <w:szCs w:val="24"/>
              </w:rPr>
              <w:t>ốc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,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vì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vậy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nhất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định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4"/>
              </w:rPr>
              <w:t>phải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tiêm vắc-xin Corona19 để có cuộc sống an toàn ở Hàn Quốc.</w:t>
            </w:r>
          </w:p>
          <w:p w14:paraId="4185E1CC" w14:textId="21B2D1BB" w:rsidR="00060BB9" w:rsidRPr="00D45784" w:rsidRDefault="00101061">
            <w:pPr>
              <w:rPr>
                <w:rFonts w:ascii="Arial" w:eastAsia="맑은 고딕" w:hAnsi="Arial" w:cs="Arial"/>
                <w:sz w:val="22"/>
                <w:szCs w:val="24"/>
              </w:rPr>
            </w:pPr>
            <w:r w:rsidRPr="00D45784">
              <w:rPr>
                <w:rFonts w:ascii="Arial" w:eastAsia="맑은 고딕" w:hAnsi="Arial" w:cs="Arial"/>
                <w:b/>
                <w:bCs/>
                <w:spacing w:val="-6"/>
                <w:sz w:val="24"/>
                <w:szCs w:val="26"/>
              </w:rPr>
              <w:t xml:space="preserve"> </w:t>
            </w:r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Những người nước ngoài trên 18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tuổi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đang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lưu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trú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lâu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dài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(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hơn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90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ngày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)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tại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Hàn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Quốc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được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tiêm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vắc-xin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Corona19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miễn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phí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6"/>
              </w:rPr>
              <w:t>.</w:t>
            </w:r>
          </w:p>
        </w:tc>
      </w:tr>
    </w:tbl>
    <w:p w14:paraId="118FE0EC" w14:textId="77777777" w:rsidR="00060BB9" w:rsidRPr="00D45784" w:rsidRDefault="00060BB9">
      <w:pPr>
        <w:wordWrap/>
        <w:spacing w:after="0" w:line="360" w:lineRule="auto"/>
        <w:jc w:val="center"/>
        <w:textAlignment w:val="baseline"/>
        <w:rPr>
          <w:rFonts w:ascii="Arial" w:eastAsia="맑은 고딕" w:hAnsi="Arial" w:cs="Arial"/>
          <w:color w:val="000000"/>
          <w:kern w:val="0"/>
          <w:sz w:val="12"/>
          <w:szCs w:val="1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60BB9" w:rsidRPr="00D45784" w14:paraId="472303F6" w14:textId="77777777" w:rsidTr="001C47DC">
        <w:trPr>
          <w:trHeight w:val="70"/>
        </w:trPr>
        <w:tc>
          <w:tcPr>
            <w:tcW w:w="9628" w:type="dxa"/>
            <w:vAlign w:val="center"/>
          </w:tcPr>
          <w:p w14:paraId="57B47328" w14:textId="374552FA" w:rsidR="00060BB9" w:rsidRPr="003F63A7" w:rsidRDefault="00101061">
            <w:pPr>
              <w:rPr>
                <w:rFonts w:ascii="Arial" w:eastAsia="맑은 고딕" w:hAnsi="Arial" w:cs="Arial"/>
                <w:color w:val="082108"/>
                <w:sz w:val="24"/>
                <w:szCs w:val="24"/>
              </w:rPr>
            </w:pP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4"/>
                <w:szCs w:val="24"/>
              </w:rPr>
              <w:t>ㅇ</w:t>
            </w:r>
            <w:r w:rsidRPr="00D45784">
              <w:rPr>
                <w:rFonts w:ascii="Arial" w:eastAsia="맑은 고딕" w:hAnsi="Arial" w:cs="Arial"/>
                <w:b/>
                <w:bCs/>
                <w:sz w:val="22"/>
                <w:szCs w:val="24"/>
              </w:rPr>
              <w:t>Vắc-xin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sz w:val="22"/>
                <w:szCs w:val="24"/>
              </w:rPr>
              <w:t>Novabax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sz w:val="22"/>
                <w:szCs w:val="24"/>
              </w:rPr>
              <w:t xml:space="preserve"> (NVX)</w:t>
            </w:r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là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loại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vắc-xin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được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sản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xuất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theo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phương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thức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tái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kết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hợp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protein </w:t>
            </w:r>
            <w:proofErr w:type="spellStart"/>
            <w:r w:rsidRPr="00D45784">
              <w:rPr>
                <w:rFonts w:ascii="Arial" w:eastAsia="맑은 고딕" w:hAnsi="Arial" w:cs="Arial"/>
                <w:sz w:val="22"/>
                <w:szCs w:val="24"/>
              </w:rPr>
              <w:t>truyền</w:t>
            </w:r>
            <w:proofErr w:type="spellEnd"/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sz w:val="22"/>
                <w:szCs w:val="24"/>
              </w:rPr>
              <w:t>thống</w:t>
            </w:r>
            <w:proofErr w:type="spellEnd"/>
            <w:r w:rsidR="003F63A7" w:rsidRPr="003F63A7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>được</w:t>
            </w:r>
            <w:proofErr w:type="spellEnd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>sản</w:t>
            </w:r>
            <w:proofErr w:type="spellEnd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>xuất</w:t>
            </w:r>
            <w:proofErr w:type="spellEnd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>theo</w:t>
            </w:r>
            <w:proofErr w:type="spellEnd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>cùng</w:t>
            </w:r>
            <w:proofErr w:type="spellEnd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>một</w:t>
            </w:r>
            <w:proofErr w:type="spellEnd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="00FA6C77" w:rsidRPr="003F63A7">
              <w:rPr>
                <w:rFonts w:ascii="Arial" w:eastAsia="맑은 고딕" w:hAnsi="Arial" w:cs="Arial"/>
                <w:sz w:val="24"/>
                <w:szCs w:val="24"/>
              </w:rPr>
              <w:t>cách</w:t>
            </w:r>
            <w:proofErr w:type="spellEnd"/>
            <w:r w:rsidR="00FA6C77" w:rsidRPr="003F63A7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FA6C77" w:rsidRPr="003F63A7">
              <w:rPr>
                <w:rFonts w:ascii="Arial" w:eastAsia="맑은 고딕" w:hAnsi="Arial" w:cs="Arial"/>
                <w:sz w:val="24"/>
                <w:szCs w:val="24"/>
              </w:rPr>
              <w:t>phương</w:t>
            </w:r>
            <w:proofErr w:type="spellEnd"/>
            <w:r w:rsidR="00FA6C77" w:rsidRPr="003F63A7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="00FA6C77">
              <w:rPr>
                <w:rFonts w:ascii="Arial" w:eastAsia="맑은 고딕" w:hAnsi="Arial" w:cs="Arial"/>
                <w:sz w:val="24"/>
                <w:szCs w:val="24"/>
              </w:rPr>
              <w:t>cách</w:t>
            </w:r>
            <w:proofErr w:type="spellEnd"/>
            <w:r w:rsidR="00FA6C7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A6C77">
              <w:rPr>
                <w:rFonts w:ascii="Arial" w:hAnsi="Arial" w:cs="Arial" w:hint="eastAsia"/>
                <w:sz w:val="24"/>
                <w:szCs w:val="24"/>
              </w:rPr>
              <w:t>n</w:t>
            </w:r>
            <w:r w:rsidR="00FA6C77">
              <w:rPr>
                <w:rFonts w:ascii="Arial" w:hAnsi="Arial" w:cs="Arial"/>
                <w:sz w:val="24"/>
                <w:szCs w:val="24"/>
              </w:rPr>
              <w:t>hư</w:t>
            </w:r>
            <w:proofErr w:type="spellEnd"/>
            <w:r w:rsidR="00FA6C77"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sz w:val="22"/>
                <w:szCs w:val="24"/>
              </w:rPr>
              <w:t>vắc-xin</w:t>
            </w:r>
            <w:proofErr w:type="spellEnd"/>
            <w:r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HPV, </w:t>
            </w:r>
            <w:proofErr w:type="spellStart"/>
            <w:r w:rsidRPr="003F63A7">
              <w:rPr>
                <w:rFonts w:ascii="Arial" w:eastAsia="맑은 고딕" w:hAnsi="Arial" w:cs="Arial"/>
                <w:sz w:val="22"/>
                <w:szCs w:val="24"/>
              </w:rPr>
              <w:t>viêm</w:t>
            </w:r>
            <w:proofErr w:type="spellEnd"/>
            <w:r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sz w:val="22"/>
                <w:szCs w:val="24"/>
              </w:rPr>
              <w:t>gan</w:t>
            </w:r>
            <w:proofErr w:type="spellEnd"/>
            <w:r w:rsidRPr="003F63A7">
              <w:rPr>
                <w:rFonts w:ascii="Arial" w:eastAsia="맑은 고딕" w:hAnsi="Arial" w:cs="Arial"/>
                <w:sz w:val="22"/>
                <w:szCs w:val="24"/>
              </w:rPr>
              <w:t xml:space="preserve"> B</w:t>
            </w:r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.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Người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nước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ngoài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trên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18 tuổi đang lưu trú tại Hàn Quốc vẫn chưa được tiêm chủng lần 1, 2 và 3 do lo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ngại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về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phản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ứng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bất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thường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9C4FF4"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từ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vắc-xin</w:t>
            </w:r>
            <w:proofErr w:type="spellEnd"/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mRNA (Pfizer, Modena v v) </w:t>
            </w:r>
            <w:r w:rsidRPr="003F63A7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có thể tiêm vắc-xin Novabax từ ngày 14 tháng 2</w:t>
            </w:r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.</w:t>
            </w:r>
          </w:p>
          <w:p w14:paraId="22870F6E" w14:textId="2AB96625" w:rsidR="00060BB9" w:rsidRPr="003F63A7" w:rsidRDefault="00101061">
            <w:pPr>
              <w:rPr>
                <w:rFonts w:ascii="Arial" w:eastAsia="맑은 고딕" w:hAnsi="Arial" w:cs="Arial"/>
                <w:sz w:val="24"/>
                <w:szCs w:val="24"/>
              </w:rPr>
            </w:pPr>
            <w:r w:rsidRPr="003F63A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- </w:t>
            </w:r>
            <w:r w:rsidRPr="003F63A7">
              <w:rPr>
                <w:rFonts w:ascii="Arial" w:eastAsia="맑은 고딕" w:hAnsi="Arial" w:cs="Arial"/>
                <w:sz w:val="24"/>
                <w:szCs w:val="24"/>
              </w:rPr>
              <w:t xml:space="preserve">Bạn có thể được tiêm chủng tại cơ quan y tế hoặc trung tâm y tế thực hiện tiêm phòng vắc-xin Novabax Corona19 bất kể bạn có tham gia </w:t>
            </w:r>
            <w:proofErr w:type="spellStart"/>
            <w:r w:rsidRPr="003F63A7">
              <w:rPr>
                <w:rFonts w:ascii="Arial" w:eastAsia="맑은 고딕" w:hAnsi="Arial" w:cs="Arial"/>
                <w:sz w:val="24"/>
                <w:szCs w:val="24"/>
              </w:rPr>
              <w:t>bảo</w:t>
            </w:r>
            <w:proofErr w:type="spellEnd"/>
            <w:r w:rsidRPr="003F63A7">
              <w:rPr>
                <w:rFonts w:ascii="Arial" w:eastAsia="맑은 고딕" w:hAnsi="Arial" w:cs="Arial"/>
                <w:sz w:val="24"/>
                <w:szCs w:val="24"/>
              </w:rPr>
              <w:t xml:space="preserve"> </w:t>
            </w:r>
            <w:proofErr w:type="spellStart"/>
            <w:r w:rsidRPr="003F63A7">
              <w:rPr>
                <w:rFonts w:ascii="Arial" w:eastAsia="맑은 고딕" w:hAnsi="Arial" w:cs="Arial"/>
                <w:sz w:val="24"/>
                <w:szCs w:val="24"/>
              </w:rPr>
              <w:t>hiểm</w:t>
            </w:r>
            <w:proofErr w:type="spellEnd"/>
            <w:r w:rsidRPr="003F63A7">
              <w:rPr>
                <w:rFonts w:ascii="Arial" w:eastAsia="맑은 고딕" w:hAnsi="Arial" w:cs="Arial"/>
                <w:sz w:val="24"/>
                <w:szCs w:val="24"/>
              </w:rPr>
              <w:t xml:space="preserve"> y </w:t>
            </w:r>
            <w:proofErr w:type="spellStart"/>
            <w:r w:rsidRPr="003F63A7">
              <w:rPr>
                <w:rFonts w:ascii="Arial" w:eastAsia="맑은 고딕" w:hAnsi="Arial" w:cs="Arial"/>
                <w:sz w:val="24"/>
                <w:szCs w:val="24"/>
              </w:rPr>
              <w:t>tế</w:t>
            </w:r>
            <w:proofErr w:type="spellEnd"/>
            <w:r w:rsidRPr="003F63A7">
              <w:rPr>
                <w:rFonts w:ascii="Arial" w:eastAsia="맑은 고딕" w:hAnsi="Arial" w:cs="Arial"/>
                <w:sz w:val="24"/>
                <w:szCs w:val="24"/>
              </w:rPr>
              <w:t xml:space="preserve"> hay </w:t>
            </w:r>
            <w:proofErr w:type="spellStart"/>
            <w:r w:rsidRPr="003F63A7">
              <w:rPr>
                <w:rFonts w:ascii="Arial" w:eastAsia="맑은 고딕" w:hAnsi="Arial" w:cs="Arial"/>
                <w:sz w:val="24"/>
                <w:szCs w:val="24"/>
              </w:rPr>
              <w:t>không</w:t>
            </w:r>
            <w:proofErr w:type="spellEnd"/>
            <w:r w:rsidRPr="003F63A7">
              <w:rPr>
                <w:rFonts w:ascii="Arial" w:eastAsia="맑은 고딕" w:hAnsi="Arial" w:cs="Arial"/>
                <w:sz w:val="24"/>
                <w:szCs w:val="24"/>
              </w:rPr>
              <w:t>.</w:t>
            </w:r>
          </w:p>
          <w:p w14:paraId="3267C6EE" w14:textId="26F03E1E" w:rsidR="00060BB9" w:rsidRPr="00D45784" w:rsidRDefault="00101061">
            <w:pPr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</w:pP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ㅇ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Phương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pháp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2F2297" w:rsidRPr="002F2297">
              <w:rPr>
                <w:rFonts w:ascii="Arial" w:eastAsia="맑은 고딕" w:hAnsi="Arial" w:cs="Arial" w:hint="eastAsia"/>
                <w:b/>
                <w:bCs/>
                <w:color w:val="082108"/>
                <w:sz w:val="24"/>
                <w:szCs w:val="24"/>
              </w:rPr>
              <w:t>đ</w:t>
            </w:r>
            <w:r w:rsidR="002F2297" w:rsidRPr="002F2297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ặt</w:t>
            </w:r>
            <w:proofErr w:type="spellEnd"/>
            <w:r w:rsidR="002F2297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lich</w:t>
            </w:r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tiêm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chủng</w:t>
            </w:r>
            <w:proofErr w:type="spellEnd"/>
          </w:p>
          <w:p w14:paraId="52475560" w14:textId="44227A36" w:rsidR="00060BB9" w:rsidRPr="00D45784" w:rsidRDefault="00101061">
            <w:pPr>
              <w:pStyle w:val="a3"/>
              <w:spacing w:line="264" w:lineRule="auto"/>
              <w:rPr>
                <w:rFonts w:ascii="Arial" w:eastAsia="맑은 고딕" w:hAnsi="Arial" w:cs="Arial"/>
                <w:color w:val="082108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1)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Người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nước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ngoài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đăng</w:t>
            </w:r>
            <w:proofErr w:type="spellEnd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ký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: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bạn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có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thể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đăng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ký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online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hoặc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qua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điện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thoại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bằng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số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đăng ký người nước ngoài.</w:t>
            </w:r>
          </w:p>
          <w:p w14:paraId="15A33791" w14:textId="2ECF5731" w:rsidR="00060BB9" w:rsidRPr="00D45784" w:rsidRDefault="00101061">
            <w:pPr>
              <w:pStyle w:val="a3"/>
              <w:spacing w:line="264" w:lineRule="auto"/>
              <w:rPr>
                <w:rFonts w:ascii="Arial" w:eastAsia="맑은 고딕" w:hAnsi="Arial" w:cs="Arial"/>
                <w:sz w:val="22"/>
                <w:szCs w:val="22"/>
              </w:rPr>
            </w:pPr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*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l</w:t>
            </w:r>
            <w:r w:rsidR="002F2297" w:rsidRP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ịch</w:t>
            </w:r>
            <w:proofErr w:type="spellEnd"/>
            <w:r w:rsid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online: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truy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cập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vào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hệ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thống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l</w:t>
            </w:r>
            <w:r w:rsidR="002F2297" w:rsidRP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ịc</w:t>
            </w:r>
            <w:r w:rsid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h</w:t>
            </w:r>
            <w:proofErr w:type="spellEnd"/>
            <w:r w:rsidR="00D808A5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D808A5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trước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tiêm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phòng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Corona19(https://ncvr.kdca.go.kr) </w:t>
            </w:r>
            <w:proofErr w:type="spellStart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sau</w:t>
            </w:r>
            <w:proofErr w:type="spellEnd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khi</w:t>
            </w:r>
            <w:proofErr w:type="spellEnd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xác</w:t>
            </w:r>
            <w:proofErr w:type="spellEnd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nhận</w:t>
            </w:r>
            <w:proofErr w:type="spellEnd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bản</w:t>
            </w:r>
            <w:proofErr w:type="spellEnd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thân</w:t>
            </w:r>
            <w:proofErr w:type="spellEnd"/>
            <w:r w:rsidR="000947F9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0947F9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lịch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từ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(21.2~) →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tiêm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chủng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tại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trung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tâm y tế hoặc cơ quan y tế ủy thác </w:t>
            </w:r>
            <w:proofErr w:type="gram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từ(</w:t>
            </w:r>
            <w:proofErr w:type="gram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7.3.~)</w:t>
            </w:r>
          </w:p>
          <w:p w14:paraId="31977A89" w14:textId="080BBF3F" w:rsidR="00060BB9" w:rsidRPr="00D45784" w:rsidRDefault="00101061">
            <w:pPr>
              <w:pStyle w:val="a3"/>
              <w:spacing w:line="264" w:lineRule="auto"/>
              <w:ind w:leftChars="100" w:left="200"/>
              <w:rPr>
                <w:rFonts w:ascii="Arial" w:eastAsia="맑은 고딕" w:hAnsi="Arial" w:cs="Arial"/>
                <w:color w:val="082108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** </w:t>
            </w:r>
            <w:proofErr w:type="spellStart"/>
            <w:r w:rsid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G</w:t>
            </w:r>
            <w:r w:rsidR="002F229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ọi</w:t>
            </w:r>
            <w:proofErr w:type="spellEnd"/>
            <w:r w:rsidR="002F229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2F229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điện</w:t>
            </w:r>
            <w:proofErr w:type="spellEnd"/>
            <w:r w:rsidR="002F229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2F229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l</w:t>
            </w:r>
            <w:r w:rsidR="00124857" w:rsidRP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ịch</w:t>
            </w:r>
            <w:proofErr w:type="spellEnd"/>
            <w:r w:rsidR="002F229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</w:t>
            </w:r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iêm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chủng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trong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ngày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: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trước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từ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(14.2~)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sau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khi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gọi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điện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cho cơ quan y tế hoặc trung tâm y tế tiêm vắc-xin Novabax để xác nhận vắc-xin còn dư lại→Đến tiêm chủng trong ngày từ (14.2~)</w:t>
            </w:r>
          </w:p>
          <w:p w14:paraId="1B44B0D7" w14:textId="6AD4BA0E" w:rsidR="00060BB9" w:rsidRPr="00D45784" w:rsidRDefault="00101061">
            <w:pPr>
              <w:rPr>
                <w:rFonts w:ascii="Arial" w:eastAsia="맑은 고딕" w:hAnsi="Arial" w:cs="Arial"/>
                <w:color w:val="082108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2) </w:t>
            </w:r>
            <w:r w:rsidRPr="00D45784">
              <w:rPr>
                <w:rFonts w:ascii="Arial" w:eastAsia="맑은 고딕" w:hAnsi="Arial" w:cs="Arial"/>
                <w:b/>
                <w:bCs/>
                <w:sz w:val="22"/>
                <w:szCs w:val="24"/>
              </w:rPr>
              <w:t>Người nước ngoài chưa đăng ký (bao gồm cả người nước ngoài lưu trú bất hợp pháp</w:t>
            </w:r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>):</w:t>
            </w:r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bạn có thể nhận được số quản lý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tạm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thời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từ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trung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tâm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y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tế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và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l</w:t>
            </w:r>
            <w:r w:rsidR="00124857" w:rsidRP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ịc</w:t>
            </w:r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h</w:t>
            </w:r>
            <w:proofErr w:type="spellEnd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trước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</w:t>
            </w:r>
            <w:r w:rsidR="00124857" w:rsidRPr="00124857">
              <w:rPr>
                <w:rFonts w:ascii="Arial" w:eastAsia="맑은 고딕" w:hAnsi="Arial" w:cs="Arial" w:hint="eastAsia"/>
                <w:color w:val="082108"/>
                <w:sz w:val="24"/>
                <w:szCs w:val="24"/>
              </w:rPr>
              <w:t>ê</w:t>
            </w:r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gram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online(</w:t>
            </w:r>
            <w:proofErr w:type="spellStart"/>
            <w:proofErr w:type="gram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chỗ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hộ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)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hoặc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qua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gọi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điện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thoại.</w:t>
            </w:r>
          </w:p>
          <w:p w14:paraId="6A630624" w14:textId="7D90DC00" w:rsidR="00060BB9" w:rsidRPr="001C47DC" w:rsidRDefault="00101061" w:rsidP="001C47DC">
            <w:pPr>
              <w:pStyle w:val="a3"/>
              <w:spacing w:line="264" w:lineRule="auto"/>
              <w:ind w:firstLineChars="100" w:firstLine="240"/>
              <w:rPr>
                <w:rFonts w:ascii="Arial" w:eastAsia="맑은 고딕" w:hAnsi="Arial" w:cs="Arial"/>
                <w:color w:val="082108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*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FA6F09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l</w:t>
            </w:r>
            <w:r w:rsidR="00FA6F09" w:rsidRPr="00FA6F09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ịch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online (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chỗ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hộ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):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truy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cập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vào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hệ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thống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l</w:t>
            </w:r>
            <w:r w:rsidR="00124857" w:rsidRPr="002F229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ịc</w:t>
            </w:r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h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tiêm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chủng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Corona19 (https://ncvr.kdca.go.kr)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và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trước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từ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(21.2~)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sau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khi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xác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nhận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bản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thân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→ tiêm chủng tại trung tâm y tế hoặc cơ quan y tế ủy thác </w:t>
            </w:r>
            <w:proofErr w:type="gram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từ(</w:t>
            </w:r>
            <w:proofErr w:type="gram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7.3.~)</w:t>
            </w:r>
          </w:p>
          <w:p w14:paraId="73EF9467" w14:textId="4BA673DB" w:rsidR="00060BB9" w:rsidRPr="00D45784" w:rsidRDefault="00101061">
            <w:pPr>
              <w:pStyle w:val="a3"/>
              <w:spacing w:line="264" w:lineRule="auto"/>
              <w:ind w:leftChars="100" w:left="200"/>
              <w:rPr>
                <w:rFonts w:ascii="Arial" w:eastAsia="맑은 고딕" w:hAnsi="Arial" w:cs="Arial"/>
                <w:color w:val="082108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** </w:t>
            </w:r>
            <w:proofErr w:type="spellStart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G</w:t>
            </w:r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ọi</w:t>
            </w:r>
            <w:proofErr w:type="spellEnd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điện</w:t>
            </w:r>
            <w:proofErr w:type="spellEnd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l</w:t>
            </w:r>
            <w:r w:rsidR="00124857" w:rsidRP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ịch</w:t>
            </w:r>
            <w:proofErr w:type="spellEnd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</w:t>
            </w:r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iêm</w:t>
            </w:r>
            <w:proofErr w:type="spellEnd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chủng</w:t>
            </w:r>
            <w:proofErr w:type="spellEnd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trong</w:t>
            </w:r>
            <w:proofErr w:type="spellEnd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124857"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ngày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: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trước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từ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(14.2</w:t>
            </w:r>
            <w:proofErr w:type="gram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~)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sau</w:t>
            </w:r>
            <w:proofErr w:type="spellEnd"/>
            <w:proofErr w:type="gram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khi gọi điện cho cơ quan y tế hoặc trung tâm y tế tiêm vắc-xin Novabax để xác nhận vắc-xin còn dư lại→Đến tiêm chủng trong ngày từ (14.2~)</w:t>
            </w:r>
          </w:p>
          <w:p w14:paraId="491D20E3" w14:textId="30E4BCED" w:rsidR="00060BB9" w:rsidRPr="00D45784" w:rsidRDefault="00101061">
            <w:pPr>
              <w:pStyle w:val="a3"/>
              <w:spacing w:line="264" w:lineRule="auto"/>
              <w:rPr>
                <w:rFonts w:ascii="Arial" w:eastAsia="맑은 고딕" w:hAnsi="Arial" w:cs="Arial"/>
                <w:spacing w:val="-2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  ***</w:t>
            </w:r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>K</w:t>
            </w:r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hi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cấp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số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quản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lý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tạm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thời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>t</w:t>
            </w:r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rường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hợp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không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có</w:t>
            </w:r>
            <w:proofErr w:type="spellEnd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chứng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minh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thư</w:t>
            </w:r>
            <w:proofErr w:type="spellEnd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còn</w:t>
            </w:r>
            <w:proofErr w:type="spellEnd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>hạn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chỉ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có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một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trong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những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t</w:t>
            </w:r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>hông</w:t>
            </w:r>
            <w:proofErr w:type="spellEnd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tin</w:t>
            </w:r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như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địa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chỉ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liên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lạc</w:t>
            </w:r>
            <w:proofErr w:type="spellEnd"/>
            <w:r w:rsidR="000947F9">
              <w:rPr>
                <w:rFonts w:ascii="Arial" w:eastAsia="맑은 고딕" w:hAnsi="Arial" w:cs="Arial"/>
                <w:spacing w:val="-2"/>
                <w:sz w:val="24"/>
                <w:szCs w:val="24"/>
              </w:rPr>
              <w:t>,</w:t>
            </w:r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điện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thoại di động (bản thân hoặc người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quen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), email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hoặc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địa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chỉ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nhà</w:t>
            </w:r>
            <w:proofErr w:type="spellEnd"/>
            <w:r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ở</w:t>
            </w:r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>th</w:t>
            </w:r>
            <w:r w:rsidR="000947F9">
              <w:rPr>
                <w:rFonts w:ascii="Arial" w:eastAsia="맑은 고딕" w:hAnsi="Arial" w:cs="Arial"/>
                <w:spacing w:val="-2"/>
                <w:sz w:val="24"/>
                <w:szCs w:val="24"/>
              </w:rPr>
              <w:t>ì</w:t>
            </w:r>
            <w:proofErr w:type="spellEnd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cũng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có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thể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được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>cấp</w:t>
            </w:r>
            <w:proofErr w:type="spellEnd"/>
            <w:r w:rsidR="00E3443F" w:rsidRPr="00D45784">
              <w:rPr>
                <w:rFonts w:ascii="Arial" w:eastAsia="맑은 고딕" w:hAnsi="Arial" w:cs="Arial"/>
                <w:spacing w:val="-2"/>
                <w:sz w:val="24"/>
                <w:szCs w:val="24"/>
              </w:rPr>
              <w:t xml:space="preserve"> </w:t>
            </w:r>
          </w:p>
          <w:p w14:paraId="7D838CD6" w14:textId="77777777" w:rsidR="00060BB9" w:rsidRPr="00D45784" w:rsidRDefault="00101061">
            <w:pPr>
              <w:pStyle w:val="a3"/>
              <w:spacing w:line="264" w:lineRule="auto"/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b/>
                <w:bCs/>
                <w:color w:val="082108"/>
                <w:sz w:val="24"/>
                <w:szCs w:val="24"/>
              </w:rPr>
              <w:t xml:space="preserve">3) Tiêm chủng lần 3 vắc-xin Novabax (NVX) </w:t>
            </w:r>
          </w:p>
          <w:p w14:paraId="3ABEEEEB" w14:textId="11E87AFA" w:rsidR="00060BB9" w:rsidRPr="00D45784" w:rsidRDefault="00101061">
            <w:pPr>
              <w:pStyle w:val="a3"/>
              <w:spacing w:line="264" w:lineRule="auto"/>
              <w:rPr>
                <w:rFonts w:ascii="Arial" w:eastAsia="맑은 고딕" w:hAnsi="Arial" w:cs="Arial"/>
                <w:color w:val="082108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 * Tiêm chủng lần 3 NVX sau khi tiêm NVX-</w:t>
            </w:r>
            <w:proofErr w:type="gram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NVX :</w:t>
            </w:r>
            <w:proofErr w:type="gram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Có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thể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đặt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trước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="00E3443F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trên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online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và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tiêm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chủng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>trong</w:t>
            </w:r>
            <w:proofErr w:type="spellEnd"/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ngày đặt trước qua gọi điện thoại</w:t>
            </w:r>
          </w:p>
          <w:p w14:paraId="49E08CE8" w14:textId="77777777" w:rsidR="00060BB9" w:rsidRPr="00D45784" w:rsidRDefault="00101061">
            <w:pPr>
              <w:pStyle w:val="a3"/>
              <w:spacing w:line="264" w:lineRule="auto"/>
              <w:rPr>
                <w:rFonts w:ascii="Arial" w:eastAsia="맑은 고딕" w:hAnsi="Arial" w:cs="Arial"/>
                <w:color w:val="082108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color w:val="082108"/>
                <w:sz w:val="24"/>
                <w:szCs w:val="24"/>
              </w:rPr>
              <w:t xml:space="preserve">  ** Sau khi tiêm vắc-xin khác (mRNA, AZ, J) nếu có lý do cấm kỵ hoặc trì hoãn đối với vắc-xin tương ứng, tiêm chủng lần 3 NVX theo ý kiến của bác sĩ: chỉ có thể tiêm chủng trong ngày đặt trước qua gọi điện thoại</w:t>
            </w:r>
          </w:p>
          <w:p w14:paraId="468A6A76" w14:textId="77777777" w:rsidR="00060BB9" w:rsidRPr="00D45784" w:rsidRDefault="00060BB9">
            <w:pPr>
              <w:pStyle w:val="a3"/>
              <w:spacing w:line="264" w:lineRule="auto"/>
              <w:ind w:leftChars="100" w:left="200"/>
              <w:rPr>
                <w:rFonts w:ascii="Arial" w:eastAsia="맑은 고딕" w:hAnsi="Arial" w:cs="Arial"/>
                <w:sz w:val="22"/>
                <w:szCs w:val="22"/>
              </w:rPr>
            </w:pPr>
          </w:p>
        </w:tc>
      </w:tr>
    </w:tbl>
    <w:p w14:paraId="255BDF11" w14:textId="77777777" w:rsidR="00060BB9" w:rsidRPr="00D45784" w:rsidRDefault="00060BB9">
      <w:pPr>
        <w:wordWrap/>
        <w:spacing w:after="0" w:line="360" w:lineRule="auto"/>
        <w:jc w:val="center"/>
        <w:textAlignment w:val="baseline"/>
        <w:rPr>
          <w:rFonts w:ascii="Arial" w:eastAsia="맑은 고딕" w:hAnsi="Arial" w:cs="Arial"/>
          <w:color w:val="000000"/>
          <w:kern w:val="0"/>
          <w:sz w:val="12"/>
          <w:szCs w:val="1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60BB9" w:rsidRPr="00D45784" w14:paraId="4F616E73" w14:textId="77777777">
        <w:trPr>
          <w:trHeight w:val="1722"/>
        </w:trPr>
        <w:tc>
          <w:tcPr>
            <w:tcW w:w="9628" w:type="dxa"/>
            <w:vAlign w:val="center"/>
          </w:tcPr>
          <w:p w14:paraId="50895BD4" w14:textId="77777777" w:rsidR="00060BB9" w:rsidRPr="00D45784" w:rsidRDefault="00101061">
            <w:pPr>
              <w:pStyle w:val="a3"/>
              <w:spacing w:line="276" w:lineRule="auto"/>
              <w:rPr>
                <w:rFonts w:ascii="Arial" w:eastAsia="맑은 고딕" w:hAnsi="Arial" w:cs="Arial"/>
                <w:sz w:val="22"/>
                <w:szCs w:val="22"/>
              </w:rPr>
            </w:pPr>
            <w:r w:rsidRPr="00D45784">
              <w:rPr>
                <w:rFonts w:ascii="맑은 고딕" w:eastAsia="맑은 고딕" w:hAnsi="맑은 고딕" w:cs="맑은 고딕" w:hint="eastAsia"/>
                <w:sz w:val="22"/>
                <w:szCs w:val="22"/>
              </w:rPr>
              <w:t>※</w:t>
            </w:r>
            <w:r w:rsidRPr="00D45784">
              <w:rPr>
                <w:rFonts w:ascii="Arial" w:eastAsia="맑은 고딕" w:hAnsi="Arial" w:cs="Arial"/>
                <w:sz w:val="22"/>
                <w:szCs w:val="22"/>
              </w:rPr>
              <w:t xml:space="preserve"> Tham khảo</w:t>
            </w:r>
          </w:p>
          <w:p w14:paraId="4094A6E3" w14:textId="77777777" w:rsidR="00060BB9" w:rsidRPr="00D45784" w:rsidRDefault="00060BB9">
            <w:pPr>
              <w:pStyle w:val="a3"/>
              <w:spacing w:line="276" w:lineRule="auto"/>
              <w:rPr>
                <w:rFonts w:ascii="Arial" w:eastAsia="맑은 고딕" w:hAnsi="Arial" w:cs="Arial"/>
                <w:sz w:val="22"/>
                <w:szCs w:val="22"/>
              </w:rPr>
            </w:pPr>
          </w:p>
          <w:p w14:paraId="21D32843" w14:textId="25ED1436" w:rsidR="00060BB9" w:rsidRPr="00D45784" w:rsidRDefault="00101061">
            <w:pPr>
              <w:pStyle w:val="a3"/>
              <w:spacing w:line="276" w:lineRule="auto"/>
              <w:ind w:left="302" w:hanging="302"/>
              <w:rPr>
                <w:rFonts w:ascii="Arial" w:eastAsia="맑은 고딕" w:hAnsi="Arial" w:cs="Arial"/>
                <w:b/>
                <w:bCs/>
                <w:spacing w:val="-12"/>
                <w:sz w:val="24"/>
                <w:szCs w:val="24"/>
              </w:rPr>
            </w:pPr>
            <w:r w:rsidRPr="00D45784">
              <w:rPr>
                <w:rFonts w:ascii="Arial" w:eastAsia="맑은 고딕" w:hAnsi="Arial" w:cs="Arial"/>
                <w:sz w:val="24"/>
                <w:szCs w:val="24"/>
              </w:rPr>
              <w:t xml:space="preserve">- </w:t>
            </w:r>
            <w:r w:rsidRPr="00D45784">
              <w:rPr>
                <w:rFonts w:ascii="Arial" w:eastAsia="맑은 고딕" w:hAnsi="Arial" w:cs="Arial"/>
                <w:b/>
                <w:bCs/>
                <w:spacing w:val="-12"/>
                <w:sz w:val="24"/>
                <w:szCs w:val="24"/>
              </w:rPr>
              <w:t xml:space="preserve">Thông tin liên quan đến thân phận chỉ được sử dụng cho mục đích tiêm chủng và </w:t>
            </w:r>
            <w:proofErr w:type="gramStart"/>
            <w:r w:rsidRPr="00D45784">
              <w:rPr>
                <w:rFonts w:ascii="Arial" w:eastAsia="맑은 고딕" w:hAnsi="Arial" w:cs="Arial"/>
                <w:b/>
                <w:bCs/>
                <w:spacing w:val="-12"/>
                <w:sz w:val="24"/>
                <w:szCs w:val="24"/>
              </w:rPr>
              <w:t>không  thông</w:t>
            </w:r>
            <w:proofErr w:type="gramEnd"/>
            <w:r w:rsidRPr="00D45784">
              <w:rPr>
                <w:rFonts w:ascii="Arial" w:eastAsia="맑은 고딕" w:hAnsi="Arial" w:cs="Arial"/>
                <w:b/>
                <w:bCs/>
                <w:spacing w:val="-12"/>
                <w:sz w:val="24"/>
                <w:szCs w:val="24"/>
              </w:rPr>
              <w:t xml:space="preserve"> báo về sự thực lưu trú bất hợp pháp cho cơ quan nhập cảnh và người nước ngoài theo chế độ miễn nghĩa vụ thông báo. </w:t>
            </w:r>
          </w:p>
          <w:p w14:paraId="3CBC44FE" w14:textId="77777777" w:rsidR="00060BB9" w:rsidRPr="00D45784" w:rsidRDefault="00060BB9">
            <w:pPr>
              <w:pStyle w:val="a3"/>
              <w:spacing w:line="276" w:lineRule="auto"/>
              <w:ind w:left="302" w:hanging="302"/>
              <w:rPr>
                <w:rFonts w:ascii="Arial" w:eastAsia="맑은 고딕" w:hAnsi="Arial" w:cs="Arial"/>
                <w:sz w:val="22"/>
                <w:szCs w:val="22"/>
              </w:rPr>
            </w:pPr>
          </w:p>
          <w:p w14:paraId="1DAF9606" w14:textId="6E39967F" w:rsidR="00060BB9" w:rsidRPr="00D45784" w:rsidRDefault="00101061">
            <w:pPr>
              <w:rPr>
                <w:rFonts w:ascii="Arial" w:eastAsia="맑은 고딕" w:hAnsi="Arial" w:cs="Arial"/>
                <w:sz w:val="24"/>
                <w:szCs w:val="26"/>
              </w:rPr>
            </w:pPr>
            <w:r w:rsidRPr="00D45784">
              <w:rPr>
                <w:rFonts w:ascii="Arial" w:eastAsia="맑은 고딕" w:hAnsi="Arial" w:cs="Arial"/>
                <w:sz w:val="22"/>
                <w:szCs w:val="24"/>
              </w:rPr>
              <w:t xml:space="preserve">-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Vui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lòng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tham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khảo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trang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web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tiêm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chủng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Corona19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của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Cục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quản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lý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r w:rsidR="00E3443F">
              <w:rPr>
                <w:rFonts w:ascii="Arial" w:eastAsia="맑은 고딕" w:hAnsi="Arial" w:cs="Arial"/>
                <w:sz w:val="24"/>
                <w:szCs w:val="26"/>
              </w:rPr>
              <w:t>dịch</w:t>
            </w:r>
            <w:proofErr w:type="spellEnd"/>
            <w:r w:rsidR="00E3443F">
              <w:rPr>
                <w:rFonts w:ascii="Arial" w:eastAsia="맑은 고딕" w:hAnsi="Arial" w:cs="Arial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D45784">
              <w:rPr>
                <w:rFonts w:ascii="Arial" w:eastAsia="맑은 고딕" w:hAnsi="Arial" w:cs="Arial"/>
                <w:sz w:val="24"/>
                <w:szCs w:val="26"/>
              </w:rPr>
              <w:t>bệnh</w:t>
            </w:r>
            <w:proofErr w:type="spell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 xml:space="preserve">  (</w:t>
            </w:r>
            <w:proofErr w:type="gramEnd"/>
            <w:r w:rsidRPr="00D45784">
              <w:rPr>
                <w:rFonts w:ascii="Arial" w:eastAsia="맑은 고딕" w:hAnsi="Arial" w:cs="Arial"/>
                <w:sz w:val="24"/>
                <w:szCs w:val="26"/>
              </w:rPr>
              <w:t>https://ncv.kdca.go.kr).</w:t>
            </w:r>
          </w:p>
          <w:p w14:paraId="741B1E2C" w14:textId="77777777" w:rsidR="00060BB9" w:rsidRPr="00D45784" w:rsidRDefault="00060BB9">
            <w:pPr>
              <w:pStyle w:val="a3"/>
              <w:spacing w:line="276" w:lineRule="auto"/>
              <w:ind w:left="320" w:hanging="320"/>
              <w:rPr>
                <w:rFonts w:ascii="Arial" w:eastAsia="맑은 고딕" w:hAnsi="Arial" w:cs="Arial"/>
                <w:sz w:val="22"/>
                <w:szCs w:val="22"/>
              </w:rPr>
            </w:pPr>
          </w:p>
        </w:tc>
      </w:tr>
    </w:tbl>
    <w:p w14:paraId="67D72457" w14:textId="77777777" w:rsidR="00060BB9" w:rsidRPr="00D45784" w:rsidRDefault="00060BB9">
      <w:pPr>
        <w:wordWrap/>
        <w:spacing w:after="0" w:line="360" w:lineRule="auto"/>
        <w:jc w:val="center"/>
        <w:textAlignment w:val="baseline"/>
        <w:rPr>
          <w:rFonts w:ascii="Arial" w:eastAsia="맑은 고딕" w:hAnsi="Arial" w:cs="Arial"/>
          <w:color w:val="000000"/>
          <w:kern w:val="0"/>
          <w:sz w:val="12"/>
          <w:szCs w:val="12"/>
        </w:rPr>
      </w:pPr>
    </w:p>
    <w:p w14:paraId="439A1365" w14:textId="77777777" w:rsidR="00060BB9" w:rsidRPr="00D45784" w:rsidRDefault="00101061">
      <w:pPr>
        <w:wordWrap/>
        <w:spacing w:after="0" w:line="360" w:lineRule="auto"/>
        <w:jc w:val="center"/>
        <w:textAlignment w:val="baseline"/>
        <w:rPr>
          <w:rFonts w:ascii="Arial" w:eastAsia="맑은 고딕" w:hAnsi="Arial" w:cs="Arial"/>
        </w:rPr>
      </w:pPr>
      <w:r w:rsidRPr="00D45784">
        <w:rPr>
          <w:rFonts w:ascii="Arial" w:eastAsia="맑은 고딕" w:hAnsi="Arial" w:cs="Arial"/>
          <w:noProof/>
          <w:color w:val="000000"/>
          <w:kern w:val="0"/>
          <w:szCs w:val="20"/>
        </w:rPr>
        <w:drawing>
          <wp:inline distT="0" distB="0" distL="0" distR="0" wp14:anchorId="08E6D1DA" wp14:editId="1A0D489A">
            <wp:extent cx="1038225" cy="304800"/>
            <wp:effectExtent l="0" t="0" r="0" b="0"/>
            <wp:docPr id="1025" name="shape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0BB9" w:rsidRPr="00D45784" w:rsidSect="001C47DC">
      <w:pgSz w:w="11906" w:h="16838"/>
      <w:pgMar w:top="851" w:right="1134" w:bottom="1135" w:left="1134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9DEF0" w14:textId="77777777" w:rsidR="003C4722" w:rsidRDefault="003C4722" w:rsidP="00124857">
      <w:pPr>
        <w:spacing w:after="0" w:line="240" w:lineRule="auto"/>
      </w:pPr>
      <w:r>
        <w:separator/>
      </w:r>
    </w:p>
  </w:endnote>
  <w:endnote w:type="continuationSeparator" w:id="0">
    <w:p w14:paraId="6C5F0EC1" w14:textId="77777777" w:rsidR="003C4722" w:rsidRDefault="003C4722" w:rsidP="00124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35F67" w14:textId="77777777" w:rsidR="003C4722" w:rsidRDefault="003C4722" w:rsidP="00124857">
      <w:pPr>
        <w:spacing w:after="0" w:line="240" w:lineRule="auto"/>
      </w:pPr>
      <w:r>
        <w:separator/>
      </w:r>
    </w:p>
  </w:footnote>
  <w:footnote w:type="continuationSeparator" w:id="0">
    <w:p w14:paraId="32526AF1" w14:textId="77777777" w:rsidR="003C4722" w:rsidRDefault="003C4722" w:rsidP="001248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BB9"/>
    <w:rsid w:val="00060BB9"/>
    <w:rsid w:val="000947F9"/>
    <w:rsid w:val="00101061"/>
    <w:rsid w:val="00124857"/>
    <w:rsid w:val="001C47DC"/>
    <w:rsid w:val="00274E33"/>
    <w:rsid w:val="002F2297"/>
    <w:rsid w:val="003C4722"/>
    <w:rsid w:val="003F63A7"/>
    <w:rsid w:val="007643ED"/>
    <w:rsid w:val="009C4FF4"/>
    <w:rsid w:val="00CC4A08"/>
    <w:rsid w:val="00CF22FB"/>
    <w:rsid w:val="00D45784"/>
    <w:rsid w:val="00D808A5"/>
    <w:rsid w:val="00E3443F"/>
    <w:rsid w:val="00FA6C77"/>
    <w:rsid w:val="00FA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2FF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248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24857"/>
  </w:style>
  <w:style w:type="paragraph" w:styleId="a6">
    <w:name w:val="footer"/>
    <w:basedOn w:val="a"/>
    <w:link w:val="Char0"/>
    <w:uiPriority w:val="99"/>
    <w:unhideWhenUsed/>
    <w:rsid w:val="001248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24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2022-02-16T12:04:00Z</cp:lastPrinted>
  <dcterms:created xsi:type="dcterms:W3CDTF">2022-02-20T23:11:00Z</dcterms:created>
  <dcterms:modified xsi:type="dcterms:W3CDTF">2022-02-20T23:11:00Z</dcterms:modified>
  <cp:version>1000.0100.01</cp:version>
</cp:coreProperties>
</file>