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87"/>
        <w:gridCol w:w="2981"/>
        <w:gridCol w:w="2970"/>
      </w:tblGrid>
      <w:tr>
        <w:trPr>
          <w:trHeight w:val="103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588" w:hRule="atLeast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baseline"/>
              <w:rPr>
                <w:lang w:val="ru-RU"/>
                <w:rFonts w:ascii="Times New Roman" w:eastAsia="HY헤드라인M" w:hAnsi="Times New Roman" w:cs="굴림"/>
                <w:b/>
                <w:bCs/>
                <w:color w:val="000000"/>
                <w:sz w:val="40"/>
                <w:szCs w:val="40"/>
                <w:kern w:val="0"/>
              </w:rPr>
            </w:pPr>
            <w:r>
              <w:rPr>
                <w:lang w:val="ru-RU"/>
                <w:rFonts w:ascii="Times New Roman" w:eastAsia="HY헤드라인M" w:hAnsi="Times New Roman" w:cs="굴림"/>
                <w:b/>
                <w:bCs/>
                <w:color w:val="000000"/>
                <w:sz w:val="40"/>
                <w:szCs w:val="40"/>
                <w:kern w:val="0"/>
              </w:rPr>
              <w:t>Информация о вакцинации Novavax для проживающих в Корее иностранцев (старше 18 лет)</w:t>
            </w:r>
          </w:p>
        </w:tc>
      </w:tr>
      <w:tr>
        <w:trPr>
          <w:trHeight w:val="102" w:hRule="atLeast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lang w:val="ru-RU"/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lang w:val="ru-RU"/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12" w:lineRule="auto"/>
              <w:textAlignment w:val="baseline"/>
              <w:rPr>
                <w:lang w:val="ru-RU"/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Cs w:val="20"/>
          <w:kern w:val="0"/>
          <w:vanish/>
        </w:rPr>
      </w:pPr>
    </w:p>
    <w:p>
      <w:pPr>
        <w:wordWrap/>
        <w:jc w:val="center"/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Cs w:val="2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299" w:hRule="atLeast"/>
        </w:trPr>
        <w:tc>
          <w:tcPr>
            <w:tcW w:w="9628" w:type="dxa"/>
            <w:vAlign w:val="center"/>
          </w:tcPr>
          <w:p>
            <w:pPr>
              <w:pStyle w:val="a3"/>
              <w:spacing w:line="276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Несмотря на то, что в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последнее время среди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подтвержденных случаев заражения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коронавирусом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доля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заражен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ных 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иностранцев высок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  <w:t>, в процентном соотношении вакцинированных против COVID-19 среди иностранцев в целом ниже по сравнению с населением Кореи. Поэтому в целях безопасной жизни в Корее просим всех обязательно вакцинироваться против COVID-19.</w:t>
            </w:r>
          </w:p>
          <w:p>
            <w:pPr>
              <w:pStyle w:val="a3"/>
              <w:spacing w:line="276" w:lineRule="auto"/>
              <w:rPr>
                <w:lang w:val="ru-RU"/>
                <w:rFonts w:ascii="Times New Roman" w:hAnsi="Times New Roman"/>
              </w:rPr>
            </w:pPr>
            <w:r>
              <w:rPr>
                <w:lang w:val="ru-RU"/>
                <w:rFonts w:ascii="Times New Roman" w:eastAsia="휴먼고딕" w:hAnsi="Times New Roman"/>
                <w:b/>
                <w:bCs/>
                <w:color w:val="000000"/>
                <w:sz w:val="28"/>
                <w:szCs w:val="28"/>
                <w:spacing w:val="-6"/>
              </w:rPr>
              <w:t>Иностранцы старше 18 лет, проживающие в Корее более 90 дней</w:t>
            </w:r>
            <w:r>
              <w:rPr>
                <w:lang w:val="ru-RU"/>
                <w:rFonts w:ascii="Times New Roman" w:eastAsia="휴먼고딕" w:hAnsi="Times New Roman"/>
                <w:b/>
                <w:bCs/>
                <w:color w:val="000000"/>
                <w:sz w:val="28"/>
                <w:szCs w:val="28"/>
                <w:spacing w:val="-6"/>
              </w:rPr>
              <w:t>, могут бесплатно вакцинироваться против COVID-19.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 w:val="10"/>
          <w:szCs w:val="10"/>
          <w:kern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8830" w:hRule="atLeast"/>
        </w:trPr>
        <w:tc>
          <w:tcPr>
            <w:tcW w:w="9628" w:type="dxa"/>
            <w:vAlign w:val="center"/>
          </w:tcPr>
          <w:p>
            <w:pPr>
              <w:pStyle w:val="a3"/>
              <w:ind w:left="308" w:hanging="308"/>
              <w:spacing w:line="264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ㅇ</w:t>
            </w:r>
            <w:r>
              <w:rPr>
                <w:lang w:val="ru-RU"/>
                <w:rFonts w:ascii="Times New Roman" w:eastAsia="휴먼고딕" w:hAnsi="Times New Roman" w:cs="Times New Roman" w:hint="eastAsia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Вакцина 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Novavax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NVX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– это вакцина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, изготовленная традиционным методом рекомбинации белков, которые изготавливаются таким же образом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как 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различные вакцин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ы такие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как ВПЧ, гепатит В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и другие.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Иностранцы старше 18 лет, проживающие в Корее, также как и другие 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получившие 1-ю, 2-ю, 3-ю дозы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из-за опасений по поводу побочных реакций на мРНК-вакцин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(Pfizer, Moderna)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 14 февраля могут привиться вакциной 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Novavax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Несмотря на наличие медицинской страховки, вы можете вакцинироваться в медицинских учреждениях или в государственных поликлиниках, применяющих вакцину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Novavax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против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COVID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-19.</w:t>
            </w:r>
          </w:p>
          <w:p>
            <w:pPr>
              <w:pStyle w:val="a3"/>
              <w:ind w:left="312" w:hanging="312"/>
              <w:spacing w:line="264" w:lineRule="auto"/>
              <w:rPr>
                <w:lang w:val="ru-RU"/>
                <w:color w:val="000000"/>
                <w:sz w:val="12"/>
                <w:szCs w:val="12"/>
              </w:rPr>
            </w:pPr>
            <w:r>
              <w:rPr>
                <w:lang w:val="ru-RU"/>
                <w:rFonts w:hint="eastAsia"/>
                <w:color w:val="000000"/>
                <w:sz w:val="12"/>
                <w:szCs w:val="12"/>
              </w:rPr>
              <w:t xml:space="preserve"> </w:t>
            </w:r>
          </w:p>
          <w:p>
            <w:pPr>
              <w:pStyle w:val="a3"/>
              <w:spacing w:line="264" w:lineRule="auto"/>
              <w:rPr>
                <w:lang w:val="ru-RU"/>
                <w:rFonts w:ascii="Times New Roman" w:hAnsi="Times New Roman"/>
                <w:color w:val="000000"/>
              </w:rPr>
            </w:pP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>ㅇ</w:t>
            </w:r>
            <w:r>
              <w:rPr>
                <w:rFonts w:ascii="휴먼고딕" w:eastAsia="휴먼고딕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Предварительная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запись и вакцинация</w:t>
            </w:r>
          </w:p>
          <w:p>
            <w:pPr>
              <w:pStyle w:val="a3"/>
              <w:numPr>
                <w:ilvl w:val="0"/>
                <w:numId w:val="1"/>
              </w:numPr>
              <w:spacing w:line="264" w:lineRule="auto"/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Зарегистрированные иностранцы: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можно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записаться онлайн или по телефону, используя свой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номер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айдикарты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регистрационный номер иностранца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</w:pPr>
            <w:r>
              <w:rPr>
                <w:lang w:val="ru-RU"/>
                <w:rFonts w:ascii="휴먼고딕" w:eastAsia="휴먼고딕"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Онлайн-бронирование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возможна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регистрация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через доверенное лицо): войдите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в систему предварительной записи на вакцинацию против коронавируса (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instrText xml:space="preserve"> HYPERLINK "https://ncvr.kdca.go.kr" </w:instrTex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separate"/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https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://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ncvr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kdca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go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kr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), и после верификации сделайте бронь (с 21 февраля) → вакцинация в уполномоченн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медицинск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 или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в государственн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поликликлиник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(с 7 марта)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</w:pPr>
            <w:r>
              <w:rPr>
                <w:lang w:val="ru-RU"/>
                <w:rFonts w:ascii="휴먼고딕" w:eastAsia="휴먼고딕" w:hint="eastAsia"/>
                <w:color w:val="000000"/>
                <w:sz w:val="22"/>
                <w:szCs w:val="22"/>
              </w:rPr>
              <w:t xml:space="preserve">**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Запись по телефону в день вакцинации: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запишитесь по телефону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медицинск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и или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государственн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поликлиник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вакцинирующих вакциной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Novavax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предварительно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уточни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наличи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«оставшейся» вакцины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(с 14 февраля)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→ вакцинирование в тот же день (с 14 февраля)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</w:p>
          <w:p>
            <w:pPr>
              <w:pStyle w:val="a3"/>
              <w:ind w:left="620" w:hanging="620"/>
              <w:spacing w:line="264" w:lineRule="auto"/>
              <w:rPr>
                <w:lang w:val="ru-RU"/>
                <w:color w:val="000000"/>
                <w:sz w:val="12"/>
                <w:szCs w:val="12"/>
              </w:rPr>
            </w:pPr>
          </w:p>
          <w:p>
            <w:pPr>
              <w:pStyle w:val="a3"/>
              <w:numPr>
                <w:ilvl w:val="0"/>
                <w:numId w:val="1"/>
              </w:numPr>
              <w:spacing w:line="264" w:lineRule="auto"/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Незарегистрированные иностранцы (в том числе нелегальн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о проживающие иностранцы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):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получив временный регистрационный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номер в государственной поликлинике, запи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шитесь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онлайн (можно через доверенное лицо), либо по телефону.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</w:pPr>
            <w:r>
              <w:rPr>
                <w:lang w:val="ru-RU"/>
                <w:rFonts w:ascii="휴먼고딕" w:eastAsia="휴먼고딕" w:hint="eastAsia"/>
                <w:color w:val="000000"/>
                <w:sz w:val="22"/>
                <w:szCs w:val="22"/>
              </w:rPr>
              <w:t xml:space="preserve">*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Онлайн-бронирование (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возможна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регистрация через доверенное лицо): войдите в систему предварительной записи на вакцинацию против коронавируса (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instrText xml:space="preserve"> HYPERLINK "https://ncvr.kdca.go.kr" </w:instrTex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separate"/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https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://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ncvr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kdca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go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kr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), и после верификации сделайте бронь (с 21 февраля) → вакцинация в уполномоченном медицинском учреждении или в государственной поликлинике (с 7 марта)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  <w:t xml:space="preserve">  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/>
                <w:color w:val="000000"/>
                <w:sz w:val="22"/>
                <w:szCs w:val="22"/>
              </w:rPr>
            </w:pPr>
            <w:r>
              <w:rPr>
                <w:lang w:val="ru-RU"/>
                <w:rFonts w:ascii="휴먼고딕" w:eastAsia="휴먼고딕" w:hint="eastAsia"/>
                <w:color w:val="000000"/>
                <w:sz w:val="22"/>
                <w:szCs w:val="22"/>
              </w:rPr>
              <w:t>**</w:t>
            </w:r>
            <w:r>
              <w:rPr>
                <w:lang w:val="ru-RU"/>
                <w:rFonts w:ascii="휴먼고딕" w:eastAsia="휴먼고딕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Запись по телефону в день вакцинации: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запишитесь по телефону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в медицинск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и или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государственн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поликлиник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вакцинирующих вакциной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Novavax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, предварительно уточнив о наличии «оставшейся» вакцины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(с 14 февраля) → вакцинирование в тот же день (с 14 февраля).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***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 xml:space="preserve">При получении временного регистрационного номера, если у вас нет удостоверения личности с действительным сроком действия, вы можете его получить по контактному мобильному номеру телефона (личный или знакомого), по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>имейлу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 xml:space="preserve">, либо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 xml:space="preserve">по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  <w:spacing w:val="-2"/>
              </w:rPr>
              <w:t xml:space="preserve">адресу проживания. </w:t>
            </w:r>
          </w:p>
          <w:p>
            <w:pPr>
              <w:pStyle w:val="a3"/>
              <w:ind w:left="620" w:hanging="620"/>
              <w:spacing w:line="264" w:lineRule="auto"/>
              <w:rPr>
                <w:lang w:val="ru-RU"/>
                <w:color w:val="000000"/>
                <w:sz w:val="12"/>
                <w:szCs w:val="12"/>
              </w:rPr>
            </w:pPr>
          </w:p>
          <w:p>
            <w:pPr>
              <w:pStyle w:val="a3"/>
              <w:ind w:left="620" w:hanging="620"/>
              <w:spacing w:line="264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3)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3-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вакцин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ация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NOVAVX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>NVX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) </w:t>
            </w:r>
          </w:p>
          <w:p>
            <w:pPr>
              <w:pStyle w:val="a3"/>
              <w:ind w:firstLineChars="100" w:firstLine="280"/>
              <w:spacing w:line="264" w:lineRule="auto"/>
              <w:rPr>
                <w:lang w:val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*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3-я вакцинация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NVX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после вакцинации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NVX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NVX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онлайн-бронирование и запись по телефону в день вакцинирования.</w:t>
            </w:r>
          </w:p>
          <w:p>
            <w:pPr>
              <w:pStyle w:val="a3"/>
              <w:ind w:leftChars="100" w:left="200"/>
              <w:spacing w:line="264" w:lineRule="auto"/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После вакцин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ирования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другими вакцинами (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mRNA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AZ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J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), при наличии противопоказаний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этих вакцин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>или отсрочки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8"/>
                <w:szCs w:val="28"/>
              </w:rPr>
              <w:t xml:space="preserve">, 3-я вакцинация возможна после заключения врача. Вакцинация возможна в день записи по телефону.  </w:t>
            </w:r>
          </w:p>
          <w:p>
            <w:pPr>
              <w:pStyle w:val="a3"/>
              <w:spacing w:line="264" w:lineRule="auto"/>
              <w:rPr/>
            </w:pPr>
          </w:p>
        </w:tc>
      </w:tr>
    </w:tbl>
    <w:p>
      <w:pPr>
        <w:wordWrap/>
        <w:jc w:val="center"/>
        <w:spacing w:after="0" w:line="360" w:lineRule="auto"/>
        <w:textAlignment w:val="baseline"/>
        <w:rPr>
          <w:rFonts w:ascii="함초롬바탕" w:eastAsia="굴림" w:hAnsi="굴림" w:cs="굴림"/>
          <w:color w:val="000000"/>
          <w:sz w:val="10"/>
          <w:szCs w:val="10"/>
          <w:kern w:val="0"/>
        </w:rPr>
      </w:pPr>
      <w:r>
        <w:rPr>
          <w:rFonts w:ascii="함초롬바탕" w:eastAsia="굴림" w:hAnsi="굴림" w:cs="굴림" w:hint="eastAsia"/>
          <w:color w:val="000000"/>
          <w:sz w:val="10"/>
          <w:szCs w:val="10"/>
          <w:kern w:val="0"/>
        </w:rPr>
        <w:t>е</w:t>
      </w:r>
      <w:r>
        <w:rPr>
          <w:rFonts w:ascii="함초롬바탕" w:eastAsia="굴림" w:hAnsi="굴림" w:cs="굴림" w:hint="eastAsia"/>
          <w:color w:val="000000"/>
          <w:sz w:val="10"/>
          <w:szCs w:val="10"/>
          <w:kern w:val="0"/>
        </w:rPr>
        <w:t xml:space="preserve"> </w:t>
      </w:r>
      <w:r>
        <w:rPr>
          <w:lang w:val="ru-RU"/>
          <w:rFonts w:ascii="함초롬바탕" w:eastAsia="굴림" w:hAnsi="굴림" w:cs="굴림"/>
          <w:color w:val="000000"/>
          <w:sz w:val="10"/>
          <w:szCs w:val="10"/>
          <w:kern w:val="0"/>
        </w:rPr>
        <w:t>в</w:t>
      </w:r>
      <w:r>
        <w:rPr>
          <w:rFonts w:ascii="함초롬바탕" w:eastAsia="굴림" w:hAnsi="굴림" w:cs="굴림" w:hint="eastAsia"/>
          <w:color w:val="000000"/>
          <w:sz w:val="10"/>
          <w:szCs w:val="10"/>
          <w:kern w:val="0"/>
        </w:rPr>
        <w:t>C</w:t>
      </w:r>
      <w:r>
        <w:rPr>
          <w:rFonts w:ascii="함초롬바탕" w:eastAsia="굴림" w:hAnsi="굴림" w:cs="굴림"/>
          <w:color w:val="000000"/>
          <w:sz w:val="10"/>
          <w:szCs w:val="10"/>
          <w:kern w:val="0"/>
        </w:rPr>
        <w:t>O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22" w:hRule="atLeast"/>
        </w:trPr>
        <w:tc>
          <w:tcPr>
            <w:tcW w:w="9628" w:type="dxa"/>
            <w:vAlign w:val="center"/>
          </w:tcPr>
          <w:p>
            <w:pPr>
              <w:pStyle w:val="a3"/>
              <w:spacing w:line="276" w:lineRule="auto"/>
              <w:rPr>
                <w:lang w:val="ru-RU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lang w:val="ru-RU"/>
                <w:rFonts w:ascii="휴먼고딕" w:eastAsia="휴먼고딕" w:hAnsi="휴먼고딕" w:hint="eastAsia"/>
                <w:color w:val="000000"/>
              </w:rPr>
              <w:t xml:space="preserve">※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  <w:p>
            <w:pPr>
              <w:pStyle w:val="a3"/>
              <w:ind w:left="302" w:hanging="302"/>
              <w:spacing w:line="276" w:lineRule="auto"/>
              <w:rPr>
                <w:lang w:val="ru-RU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 xml:space="preserve">Информация о ваших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>личных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 xml:space="preserve"> данных используется исключительно в целях вакцинации, 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>и согласно политике об освобождении уведомлений, о факте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 xml:space="preserve"> вашего</w:t>
            </w:r>
            <w:r>
              <w:rPr>
                <w:lang w:val="ru-RU"/>
                <w:rFonts w:ascii="Times New Roman" w:eastAsia="휴먼고딕" w:hAnsi="Times New Roman" w:cs="Times New Roman"/>
                <w:b/>
                <w:bCs/>
                <w:color w:val="000000"/>
                <w:sz w:val="24"/>
                <w:szCs w:val="24"/>
                <w:spacing w:val="-4"/>
              </w:rPr>
              <w:t xml:space="preserve"> незаконного пребывания в стране не передается иммиграционным службам.</w:t>
            </w:r>
          </w:p>
          <w:p>
            <w:pPr>
              <w:pStyle w:val="a3"/>
              <w:ind w:left="320" w:hanging="320"/>
              <w:spacing w:line="276" w:lineRule="auto"/>
              <w:rPr>
                <w:lang w:val="ru-RU"/>
                <w:rFonts w:ascii="Times New Roman" w:hAnsi="Times New Roman"/>
              </w:rPr>
            </w:pP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Для получения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дополнительной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посетите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 xml:space="preserve"> соответствующие сайты по вакцинации против COVID-19( </w: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instrText xml:space="preserve"> HYPERLINK "https://ncv.kdca.go.kr" </w:instrText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https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://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ncv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kdca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go</w:t>
            </w:r>
            <w:r>
              <w:rPr>
                <w:rStyle w:val="a5"/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kr</w:t>
            </w:r>
            <w:r>
              <w:rPr>
                <w:rStyle w:val="a5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lang w:val="ru-RU"/>
                <w:rFonts w:ascii="Times New Roman" w:eastAsia="휴먼고딕" w:hAnsi="Times New Roman" w:cs="Times New Roman"/>
                <w:color w:val="000000"/>
                <w:sz w:val="24"/>
                <w:szCs w:val="24"/>
              </w:rPr>
              <w:t>) Корейского центра по контролю и профилактике заболеваний.</w:t>
            </w:r>
          </w:p>
        </w:tc>
      </w:tr>
    </w:tbl>
    <w:p>
      <w:pPr>
        <w:wordWrap/>
        <w:jc w:val="center"/>
        <w:spacing w:after="0" w:line="360" w:lineRule="auto"/>
        <w:textAlignment w:val="baseline"/>
        <w:rPr>
          <w:lang w:val="ru-RU"/>
          <w:rFonts w:ascii="함초롬바탕" w:eastAsia="굴림" w:hAnsi="굴림" w:cs="굴림"/>
          <w:color w:val="000000"/>
          <w:sz w:val="10"/>
          <w:szCs w:val="10"/>
          <w:kern w:val="0"/>
        </w:rPr>
      </w:pPr>
    </w:p>
    <w:p>
      <w:pPr>
        <w:wordWrap/>
        <w:jc w:val="center"/>
        <w:spacing w:after="0" w:line="360" w:lineRule="auto"/>
        <w:textAlignment w:val="baseline"/>
        <w:rPr>
          <w:color w:val="000000"/>
        </w:rPr>
      </w:pPr>
      <w:r>
        <w:rPr>
          <w:rFonts w:ascii="함초롬바탕" w:eastAsia="굴림" w:hAnsi="굴림" w:cs="굴림"/>
          <w:noProof/>
          <w:color w:val="000000"/>
          <w:szCs w:val="20"/>
          <w:kern w:val="0"/>
        </w:rPr>
        <w:drawing>
          <wp:inline distT="0" distB="0" distL="0" distR="0">
            <wp:extent cx="1038225" cy="30480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851" w:right="1134" w:bottom="851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휴먼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ff5318f"/>
    <w:multiLevelType w:val="hybridMultilevel"/>
    <w:tmpl w:val="f17ccd8a"/>
    <w:lvl w:ilvl="0" w:tplc="3e84ac0c">
      <w:start w:val="1"/>
      <w:lvlText w:val="%1)"/>
      <w:lvlJc w:val="left"/>
      <w:pPr>
        <w:ind w:left="760" w:hanging="360"/>
      </w:pPr>
      <w:rPr>
        <w:rFonts w:ascii="휴먼고딕" w:hAnsi="굴림"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basedOn w:val="a0"/>
    <w:unhideWhenUsed/>
    <w:rPr>
      <w:color w:val="0563C1"/>
      <w:u w:val="single" w:color="auto"/>
    </w:rPr>
  </w:style>
  <w:style w:type="character" w:customStyle="1" w:styleId="a6">
    <w:name w:val="Unresolved Mention"/>
    <w:uiPriority w:val="99"/>
    <w:basedOn w:val="a0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이선환</cp:lastModifiedBy>
  <cp:revision>1</cp:revision>
  <dcterms:created xsi:type="dcterms:W3CDTF">2022-02-19T04:25:00Z</dcterms:created>
  <dcterms:modified xsi:type="dcterms:W3CDTF">2022-02-21T00:46:04Z</dcterms:modified>
  <cp:version>1000.0100.01</cp:version>
</cp:coreProperties>
</file>